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C5" w:rsidRPr="00F441C5" w:rsidRDefault="00F441C5" w:rsidP="00F441C5">
      <w:pPr>
        <w:jc w:val="center"/>
        <w:rPr>
          <w:rFonts w:asciiTheme="majorHAnsi" w:hAnsiTheme="majorHAnsi" w:cstheme="minorHAnsi"/>
          <w:b/>
          <w:sz w:val="24"/>
          <w:szCs w:val="24"/>
          <w:u w:val="single"/>
          <w:lang w:val="en-ZA"/>
        </w:rPr>
      </w:pPr>
      <w:r w:rsidRPr="00F441C5">
        <w:rPr>
          <w:rFonts w:asciiTheme="majorHAnsi" w:hAnsiTheme="majorHAnsi" w:cstheme="minorHAnsi"/>
          <w:b/>
          <w:sz w:val="24"/>
          <w:szCs w:val="24"/>
          <w:u w:val="single"/>
          <w:lang w:val="en-ZA"/>
        </w:rPr>
        <w:t>Additional information to help in the completion of module form B:</w:t>
      </w:r>
    </w:p>
    <w:p w:rsidR="00F441C5" w:rsidRPr="007E07B0" w:rsidRDefault="00F441C5" w:rsidP="00F441C5">
      <w:pPr>
        <w:rPr>
          <w:rFonts w:asciiTheme="minorHAnsi" w:hAnsiTheme="minorHAnsi" w:cstheme="minorHAnsi"/>
          <w:lang w:val="en-ZA"/>
        </w:rPr>
      </w:pPr>
    </w:p>
    <w:p w:rsidR="00F441C5" w:rsidRPr="00F441C5" w:rsidRDefault="00F441C5" w:rsidP="00F441C5">
      <w:pPr>
        <w:rPr>
          <w:rFonts w:asciiTheme="majorHAnsi" w:hAnsiTheme="majorHAnsi" w:cstheme="minorHAnsi"/>
          <w:sz w:val="22"/>
          <w:szCs w:val="22"/>
          <w:lang w:val="en-ZA"/>
        </w:rPr>
      </w:pPr>
      <w:r w:rsidRPr="00F441C5">
        <w:rPr>
          <w:rFonts w:asciiTheme="majorHAnsi" w:hAnsiTheme="majorHAnsi" w:cstheme="minorHAnsi"/>
          <w:sz w:val="22"/>
          <w:szCs w:val="22"/>
          <w:lang w:val="en-ZA"/>
        </w:rPr>
        <w:t>The following additional information or links to documents might assist in the completion of this form:</w:t>
      </w:r>
    </w:p>
    <w:p w:rsidR="00F441C5" w:rsidRPr="00F441C5" w:rsidRDefault="00F441C5" w:rsidP="00F441C5">
      <w:pPr>
        <w:rPr>
          <w:rFonts w:asciiTheme="minorHAnsi" w:hAnsiTheme="minorHAnsi" w:cstheme="minorHAnsi"/>
          <w:sz w:val="22"/>
          <w:szCs w:val="22"/>
          <w:lang w:val="en-ZA"/>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95"/>
      </w:tblGrid>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bookmarkStart w:id="0" w:name="NQF"/>
            <w:r w:rsidRPr="00F441C5">
              <w:rPr>
                <w:rFonts w:asciiTheme="majorHAnsi" w:hAnsiTheme="majorHAnsi" w:cstheme="majorHAnsi"/>
                <w:b/>
                <w:sz w:val="22"/>
                <w:szCs w:val="22"/>
                <w:lang w:val="en-ZA"/>
              </w:rPr>
              <w:t xml:space="preserve">NQF </w:t>
            </w:r>
            <w:bookmarkEnd w:id="0"/>
            <w:r w:rsidRPr="00F441C5">
              <w:rPr>
                <w:rFonts w:asciiTheme="majorHAnsi" w:hAnsiTheme="majorHAnsi" w:cstheme="majorHAnsi"/>
                <w:b/>
                <w:sz w:val="22"/>
                <w:szCs w:val="22"/>
                <w:lang w:val="en-ZA"/>
              </w:rPr>
              <w:t>levels and Outcomes:</w:t>
            </w:r>
          </w:p>
        </w:tc>
      </w:tr>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The Higher Education Qualifications Sub-Framework (HEQSF) provides clear descriptors of the different National Qualification Framework (NQF) levels of programmes and what the requirements for each type of programme is.  Please find more information in the HEQSF document available at:</w:t>
            </w:r>
          </w:p>
          <w:p w:rsidR="00F441C5" w:rsidRPr="00F441C5" w:rsidRDefault="00F441C5" w:rsidP="00D673F5">
            <w:pPr>
              <w:rPr>
                <w:rFonts w:asciiTheme="majorHAnsi" w:hAnsiTheme="majorHAnsi" w:cstheme="majorHAnsi"/>
                <w:sz w:val="22"/>
                <w:szCs w:val="22"/>
                <w:lang w:val="en-ZA"/>
              </w:rPr>
            </w:pPr>
            <w:hyperlink r:id="rId4" w:history="1">
              <w:r w:rsidRPr="00F441C5">
                <w:rPr>
                  <w:rStyle w:val="Hyperlink"/>
                  <w:rFonts w:asciiTheme="majorHAnsi" w:hAnsiTheme="majorHAnsi" w:cstheme="majorHAnsi"/>
                  <w:sz w:val="22"/>
                  <w:szCs w:val="22"/>
                  <w:lang w:val="en-ZA"/>
                </w:rPr>
                <w:t>https://www.sun.ac.za/english/learning-teaching/learning-teaching-enhancement/APQ/Documents/Academic%20Planning/HEQSF%20Government%20Gazette%2038116%2017%20October%202014.pdf</w:t>
              </w:r>
            </w:hyperlink>
            <w:r w:rsidRPr="00F441C5">
              <w:rPr>
                <w:rFonts w:asciiTheme="majorHAnsi" w:hAnsiTheme="majorHAnsi" w:cstheme="majorHAnsi"/>
                <w:sz w:val="22"/>
                <w:szCs w:val="22"/>
                <w:lang w:val="en-ZA"/>
              </w:rPr>
              <w:t xml:space="preserve"> </w:t>
            </w:r>
          </w:p>
        </w:tc>
      </w:tr>
    </w:tbl>
    <w:p w:rsidR="00F441C5" w:rsidRPr="00F441C5" w:rsidRDefault="00F441C5" w:rsidP="00F441C5">
      <w:pPr>
        <w:rPr>
          <w:rFonts w:asciiTheme="minorHAnsi" w:hAnsiTheme="minorHAnsi" w:cstheme="minorHAnsi"/>
          <w:sz w:val="22"/>
          <w:szCs w:val="22"/>
          <w:lang w:val="en-ZA"/>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bookmarkStart w:id="1" w:name="CESM"/>
            <w:r w:rsidRPr="00F441C5">
              <w:rPr>
                <w:rFonts w:asciiTheme="majorHAnsi" w:hAnsiTheme="majorHAnsi" w:cstheme="majorHAnsi"/>
                <w:b/>
                <w:sz w:val="22"/>
                <w:szCs w:val="22"/>
                <w:lang w:val="en-ZA"/>
              </w:rPr>
              <w:t>CESM</w:t>
            </w:r>
            <w:bookmarkEnd w:id="1"/>
            <w:r w:rsidRPr="00F441C5">
              <w:rPr>
                <w:rFonts w:asciiTheme="majorHAnsi" w:hAnsiTheme="majorHAnsi" w:cstheme="majorHAnsi"/>
                <w:b/>
                <w:sz w:val="22"/>
                <w:szCs w:val="22"/>
                <w:lang w:val="en-ZA"/>
              </w:rPr>
              <w:t>:</w:t>
            </w:r>
          </w:p>
        </w:tc>
      </w:tr>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The CESM (classification of educational subject matter) is a coherent system for categorising subject matter.  This system facilitates the recording, reporting and comparing of subject matter.   This system comprises of 20 categories of subject matter with a further breakdown into further sub categories.  The full list of CESM categories (2008) with the revised addendum (2014) is available at:  </w:t>
            </w:r>
            <w:hyperlink r:id="rId5" w:history="1">
              <w:r w:rsidRPr="00F441C5">
                <w:rPr>
                  <w:rStyle w:val="Hyperlink"/>
                  <w:rFonts w:asciiTheme="majorHAnsi" w:hAnsiTheme="majorHAnsi" w:cstheme="majorHAnsi"/>
                  <w:sz w:val="22"/>
                  <w:szCs w:val="22"/>
                  <w:lang w:val="en-ZA"/>
                </w:rPr>
                <w:t>https://www.sun.ac.za/english/learning-teaching/learning-teaching-enhancement/APQ/Documents/Academic%20Planning/CESM_August2008_%26Addendum_2014.pdf</w:t>
              </w:r>
            </w:hyperlink>
            <w:r w:rsidRPr="00F441C5">
              <w:rPr>
                <w:rFonts w:asciiTheme="majorHAnsi" w:hAnsiTheme="majorHAnsi" w:cstheme="majorHAnsi"/>
                <w:sz w:val="22"/>
                <w:szCs w:val="22"/>
                <w:lang w:val="en-ZA"/>
              </w:rPr>
              <w:t xml:space="preserve"> </w:t>
            </w:r>
          </w:p>
        </w:tc>
      </w:tr>
    </w:tbl>
    <w:p w:rsidR="00F441C5" w:rsidRPr="00F441C5" w:rsidRDefault="00F441C5" w:rsidP="00F441C5">
      <w:pPr>
        <w:rPr>
          <w:rFonts w:asciiTheme="minorHAnsi" w:hAnsiTheme="minorHAnsi" w:cstheme="minorHAnsi"/>
          <w:sz w:val="22"/>
          <w:szCs w:val="22"/>
          <w:lang w:val="en-ZA"/>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b/>
                <w:sz w:val="22"/>
                <w:szCs w:val="22"/>
                <w:lang w:val="en-ZA"/>
              </w:rPr>
              <w:t>Outcomes:</w:t>
            </w:r>
          </w:p>
        </w:tc>
      </w:tr>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For an indication of the SAQA level descriptors for programmes on different NQF levels, please see the SAQA level descriptors available at: </w:t>
            </w:r>
            <w:hyperlink r:id="rId6" w:history="1">
              <w:r w:rsidRPr="00F441C5">
                <w:rPr>
                  <w:rStyle w:val="Hyperlink"/>
                  <w:rFonts w:asciiTheme="majorHAnsi" w:hAnsiTheme="majorHAnsi" w:cstheme="majorHAnsi"/>
                  <w:sz w:val="22"/>
                  <w:szCs w:val="22"/>
                  <w:lang w:val="en-ZA"/>
                </w:rPr>
                <w:t>https://www.sun.ac.za/english/learning-teaching/learning-teaching-enhancement/APQ/Documents/Academic%20Planning/SAQA%20level_descriptors%20Nov%202012.pdf</w:t>
              </w:r>
            </w:hyperlink>
            <w:r w:rsidRPr="00F441C5">
              <w:rPr>
                <w:rFonts w:asciiTheme="majorHAnsi" w:hAnsiTheme="majorHAnsi" w:cstheme="majorHAnsi"/>
                <w:sz w:val="22"/>
                <w:szCs w:val="22"/>
                <w:lang w:val="en-ZA"/>
              </w:rPr>
              <w:t xml:space="preserve"> </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You will also find some action verbs from Bloom’s Taxonomy at: </w:t>
            </w:r>
            <w:hyperlink r:id="rId7" w:history="1">
              <w:r w:rsidRPr="00F441C5">
                <w:rPr>
                  <w:rStyle w:val="Hyperlink"/>
                  <w:rFonts w:asciiTheme="majorHAnsi" w:hAnsiTheme="majorHAnsi" w:cstheme="majorHAnsi"/>
                  <w:sz w:val="22"/>
                  <w:szCs w:val="22"/>
                  <w:lang w:val="en-ZA"/>
                </w:rPr>
                <w:t>https://www.sun.ac.za/english/learning-teaching/learning-teaching-enhancement/APQ/Documents/Academic%20Planning/BloomsTaxonomyVerbs.pdf</w:t>
              </w:r>
            </w:hyperlink>
            <w:r w:rsidRPr="00F441C5">
              <w:rPr>
                <w:rFonts w:asciiTheme="majorHAnsi" w:hAnsiTheme="majorHAnsi" w:cstheme="majorHAnsi"/>
                <w:sz w:val="22"/>
                <w:szCs w:val="22"/>
                <w:lang w:val="en-ZA"/>
              </w:rPr>
              <w:t>.</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An helpful article regarding the formulation of outcomes is also available at: </w:t>
            </w:r>
            <w:hyperlink r:id="rId8" w:history="1">
              <w:r w:rsidRPr="00F441C5">
                <w:rPr>
                  <w:rStyle w:val="Hyperlink"/>
                  <w:rFonts w:asciiTheme="majorHAnsi" w:hAnsiTheme="majorHAnsi" w:cstheme="majorHAnsi"/>
                  <w:sz w:val="22"/>
                  <w:szCs w:val="22"/>
                  <w:lang w:val="en-ZA"/>
                </w:rPr>
                <w:t>https://www.sun.ac.za/english/learning-teaching/learning-teaching-enhancement/APQ/Documents/Academic%20Planning/Writing_and_using_learning-outcomes.pdf</w:t>
              </w:r>
            </w:hyperlink>
            <w:r w:rsidRPr="00F441C5">
              <w:rPr>
                <w:rFonts w:asciiTheme="majorHAnsi" w:hAnsiTheme="majorHAnsi" w:cstheme="majorHAnsi"/>
                <w:sz w:val="22"/>
                <w:szCs w:val="22"/>
                <w:lang w:val="en-ZA"/>
              </w:rPr>
              <w:t xml:space="preserve"> </w:t>
            </w:r>
          </w:p>
        </w:tc>
      </w:tr>
    </w:tbl>
    <w:p w:rsidR="00F441C5" w:rsidRPr="00F441C5" w:rsidRDefault="00F441C5" w:rsidP="00F441C5">
      <w:pPr>
        <w:rPr>
          <w:rFonts w:asciiTheme="majorHAnsi" w:hAnsiTheme="majorHAnsi" w:cstheme="majorHAnsi"/>
          <w:sz w:val="22"/>
          <w:szCs w:val="22"/>
          <w:lang w:val="en-ZA"/>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441C5" w:rsidRPr="00F441C5" w:rsidTr="00D673F5">
        <w:tc>
          <w:tcPr>
            <w:tcW w:w="9918" w:type="dxa"/>
          </w:tcPr>
          <w:p w:rsidR="00F441C5" w:rsidRPr="00F441C5" w:rsidRDefault="00F441C5" w:rsidP="00D673F5">
            <w:pPr>
              <w:rPr>
                <w:rFonts w:asciiTheme="majorHAnsi" w:hAnsiTheme="majorHAnsi" w:cstheme="majorHAnsi"/>
                <w:b/>
                <w:sz w:val="22"/>
                <w:szCs w:val="22"/>
                <w:lang w:val="en-ZA"/>
              </w:rPr>
            </w:pPr>
            <w:bookmarkStart w:id="2" w:name="Assessment"/>
            <w:r w:rsidRPr="00F441C5">
              <w:rPr>
                <w:rFonts w:asciiTheme="majorHAnsi" w:hAnsiTheme="majorHAnsi" w:cstheme="majorHAnsi"/>
                <w:b/>
                <w:sz w:val="22"/>
                <w:szCs w:val="22"/>
                <w:lang w:val="en-ZA"/>
              </w:rPr>
              <w:t>Formal assessment opportunities:</w:t>
            </w:r>
            <w:bookmarkEnd w:id="2"/>
          </w:p>
        </w:tc>
      </w:tr>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The following three options are available as formal assessment opportunities:</w:t>
            </w: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A1:  Assessment during the semester (the current test period)</w:t>
            </w: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A2: Assessment in the time period of the first examination</w:t>
            </w:r>
          </w:p>
          <w:p w:rsidR="00F441C5" w:rsidRPr="00F441C5" w:rsidRDefault="00F441C5" w:rsidP="00D673F5">
            <w:pPr>
              <w:pStyle w:val="FootnoteText"/>
              <w:rPr>
                <w:rFonts w:asciiTheme="majorHAnsi" w:hAnsiTheme="majorHAnsi" w:cstheme="majorHAnsi"/>
                <w:sz w:val="22"/>
                <w:szCs w:val="22"/>
                <w:lang w:val="en-ZA"/>
              </w:rPr>
            </w:pPr>
            <w:r w:rsidRPr="00F441C5">
              <w:rPr>
                <w:rFonts w:asciiTheme="majorHAnsi" w:hAnsiTheme="majorHAnsi" w:cstheme="majorHAnsi"/>
                <w:sz w:val="22"/>
                <w:szCs w:val="22"/>
                <w:lang w:val="en-ZA"/>
              </w:rPr>
              <w:t>A3: Assessment in the time period of the second examination</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If the module is an </w:t>
            </w:r>
            <w:r w:rsidRPr="00F441C5">
              <w:rPr>
                <w:rFonts w:asciiTheme="majorHAnsi" w:hAnsiTheme="majorHAnsi" w:cstheme="majorHAnsi"/>
                <w:i/>
                <w:sz w:val="22"/>
                <w:szCs w:val="22"/>
                <w:lang w:val="en-ZA"/>
              </w:rPr>
              <w:t>undergraduate</w:t>
            </w:r>
            <w:r w:rsidRPr="00F441C5">
              <w:rPr>
                <w:rFonts w:asciiTheme="majorHAnsi" w:hAnsiTheme="majorHAnsi" w:cstheme="majorHAnsi"/>
                <w:sz w:val="22"/>
                <w:szCs w:val="22"/>
                <w:lang w:val="en-ZA"/>
              </w:rPr>
              <w:t xml:space="preserve"> module, indicating “yes” on any of these basement opportunities means that a formal test / examination date will be included on the test and examination timetable for this module.</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If the module is a </w:t>
            </w:r>
            <w:r w:rsidRPr="00F441C5">
              <w:rPr>
                <w:rFonts w:asciiTheme="majorHAnsi" w:hAnsiTheme="majorHAnsi" w:cstheme="majorHAnsi"/>
                <w:i/>
                <w:sz w:val="22"/>
                <w:szCs w:val="22"/>
                <w:lang w:val="en-ZA"/>
              </w:rPr>
              <w:t>postgraduate</w:t>
            </w:r>
            <w:r w:rsidRPr="00F441C5">
              <w:rPr>
                <w:rFonts w:asciiTheme="majorHAnsi" w:hAnsiTheme="majorHAnsi" w:cstheme="majorHAnsi"/>
                <w:sz w:val="22"/>
                <w:szCs w:val="22"/>
                <w:lang w:val="en-ZA"/>
              </w:rPr>
              <w:t xml:space="preserve"> module, this information will be used by the faculty to make further arrangements.</w:t>
            </w:r>
          </w:p>
        </w:tc>
      </w:tr>
    </w:tbl>
    <w:p w:rsidR="00F441C5" w:rsidRPr="00F441C5" w:rsidRDefault="00F441C5" w:rsidP="00F441C5">
      <w:pPr>
        <w:rPr>
          <w:rFonts w:asciiTheme="minorHAnsi" w:hAnsiTheme="minorHAnsi" w:cstheme="minorHAnsi"/>
          <w:sz w:val="22"/>
          <w:szCs w:val="22"/>
          <w:lang w:val="en-ZA"/>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441C5" w:rsidRPr="00F441C5" w:rsidTr="00D673F5">
        <w:tc>
          <w:tcPr>
            <w:tcW w:w="9918" w:type="dxa"/>
          </w:tcPr>
          <w:p w:rsidR="00F441C5" w:rsidRPr="00F441C5" w:rsidRDefault="00F441C5" w:rsidP="00D673F5">
            <w:pPr>
              <w:rPr>
                <w:rFonts w:asciiTheme="majorHAnsi" w:hAnsiTheme="majorHAnsi" w:cstheme="majorHAnsi"/>
                <w:b/>
                <w:sz w:val="22"/>
                <w:szCs w:val="22"/>
                <w:lang w:val="en-ZA"/>
              </w:rPr>
            </w:pPr>
            <w:bookmarkStart w:id="3" w:name="Language"/>
            <w:r w:rsidRPr="00F441C5">
              <w:rPr>
                <w:rFonts w:asciiTheme="majorHAnsi" w:hAnsiTheme="majorHAnsi" w:cstheme="majorHAnsi"/>
                <w:b/>
                <w:sz w:val="22"/>
                <w:szCs w:val="22"/>
                <w:lang w:val="en-ZA"/>
              </w:rPr>
              <w:t>Language option</w:t>
            </w:r>
            <w:bookmarkEnd w:id="3"/>
            <w:r w:rsidRPr="00F441C5">
              <w:rPr>
                <w:rFonts w:asciiTheme="majorHAnsi" w:hAnsiTheme="majorHAnsi" w:cstheme="majorHAnsi"/>
                <w:b/>
                <w:sz w:val="22"/>
                <w:szCs w:val="22"/>
                <w:lang w:val="en-ZA"/>
              </w:rPr>
              <w:t>:</w:t>
            </w:r>
          </w:p>
        </w:tc>
      </w:tr>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According to the Language Policy of Stellenbosch University (2017), all </w:t>
            </w:r>
            <w:r w:rsidRPr="00F441C5">
              <w:rPr>
                <w:rFonts w:asciiTheme="majorHAnsi" w:hAnsiTheme="majorHAnsi" w:cstheme="majorHAnsi"/>
                <w:i/>
                <w:sz w:val="22"/>
                <w:szCs w:val="22"/>
                <w:lang w:val="en-ZA"/>
              </w:rPr>
              <w:t>undergraduate</w:t>
            </w:r>
            <w:r w:rsidRPr="00F441C5">
              <w:rPr>
                <w:rFonts w:asciiTheme="majorHAnsi" w:hAnsiTheme="majorHAnsi" w:cstheme="majorHAnsi"/>
                <w:sz w:val="22"/>
                <w:szCs w:val="22"/>
                <w:lang w:val="en-ZA"/>
              </w:rPr>
              <w:t xml:space="preserve"> modules must be offered in one of the following language options:</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7.1.3: Parallel Medium Teaching – more than one class group, i.e. separate lectures in Afrikaans and English</w:t>
            </w:r>
          </w:p>
          <w:p w:rsidR="00F441C5" w:rsidRPr="00F441C5" w:rsidRDefault="00F441C5" w:rsidP="00D673F5">
            <w:pPr>
              <w:ind w:left="599" w:hanging="567"/>
              <w:rPr>
                <w:rFonts w:asciiTheme="majorHAnsi" w:hAnsiTheme="majorHAnsi" w:cstheme="majorHAnsi"/>
                <w:sz w:val="22"/>
                <w:szCs w:val="22"/>
                <w:lang w:val="en-ZA"/>
              </w:rPr>
            </w:pPr>
            <w:r w:rsidRPr="00F441C5">
              <w:rPr>
                <w:rFonts w:asciiTheme="majorHAnsi" w:hAnsiTheme="majorHAnsi" w:cstheme="majorHAnsi"/>
                <w:sz w:val="22"/>
                <w:szCs w:val="22"/>
                <w:lang w:val="en-ZA"/>
              </w:rPr>
              <w:t>7.1.4: Both Afrikaans and English in the same class group (this option also allows for simultaneous interpretation – 7.1.4.3)</w:t>
            </w: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7.1.5: Lectures offered in one language only, under the following conditions:</w:t>
            </w:r>
          </w:p>
          <w:p w:rsidR="00F441C5" w:rsidRPr="00F441C5" w:rsidRDefault="00F441C5" w:rsidP="00D673F5">
            <w:pPr>
              <w:ind w:left="1308" w:hanging="709"/>
              <w:rPr>
                <w:rFonts w:asciiTheme="majorHAnsi" w:hAnsiTheme="majorHAnsi" w:cstheme="majorHAnsi"/>
                <w:sz w:val="22"/>
                <w:szCs w:val="22"/>
                <w:lang w:val="en-ZA"/>
              </w:rPr>
            </w:pPr>
            <w:r w:rsidRPr="00F441C5">
              <w:rPr>
                <w:rFonts w:asciiTheme="majorHAnsi" w:hAnsiTheme="majorHAnsi" w:cstheme="majorHAnsi"/>
                <w:sz w:val="22"/>
                <w:szCs w:val="22"/>
                <w:lang w:val="en-ZA"/>
              </w:rPr>
              <w:lastRenderedPageBreak/>
              <w:t>7.1.5.1  where the nature of the subject matter justifies doing so</w:t>
            </w:r>
          </w:p>
          <w:p w:rsidR="00F441C5" w:rsidRPr="00F441C5" w:rsidRDefault="00F441C5" w:rsidP="00D673F5">
            <w:pPr>
              <w:ind w:left="1308" w:hanging="709"/>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7.1.5.2 </w:t>
            </w:r>
            <w:proofErr w:type="gramStart"/>
            <w:r w:rsidRPr="00F441C5">
              <w:rPr>
                <w:rFonts w:asciiTheme="majorHAnsi" w:hAnsiTheme="majorHAnsi" w:cstheme="majorHAnsi"/>
                <w:sz w:val="22"/>
                <w:szCs w:val="22"/>
                <w:lang w:val="en-ZA"/>
              </w:rPr>
              <w:t>where</w:t>
            </w:r>
            <w:proofErr w:type="gramEnd"/>
            <w:r w:rsidRPr="00F441C5">
              <w:rPr>
                <w:rFonts w:asciiTheme="majorHAnsi" w:hAnsiTheme="majorHAnsi" w:cstheme="majorHAnsi"/>
                <w:sz w:val="22"/>
                <w:szCs w:val="22"/>
                <w:lang w:val="en-ZA"/>
              </w:rPr>
              <w:t xml:space="preserve"> the assigned lecturer is proficient to teach only in Afrikaans or English (for these modules additional support is provided.</w:t>
            </w:r>
          </w:p>
          <w:p w:rsidR="00F441C5" w:rsidRPr="00F441C5" w:rsidRDefault="00F441C5" w:rsidP="00D673F5">
            <w:pPr>
              <w:ind w:left="1308" w:hanging="709"/>
              <w:rPr>
                <w:rFonts w:asciiTheme="majorHAnsi" w:hAnsiTheme="majorHAnsi" w:cstheme="majorHAnsi"/>
                <w:sz w:val="22"/>
                <w:szCs w:val="22"/>
                <w:lang w:val="en-ZA"/>
              </w:rPr>
            </w:pPr>
            <w:r w:rsidRPr="00F441C5">
              <w:rPr>
                <w:rFonts w:asciiTheme="majorHAnsi" w:hAnsiTheme="majorHAnsi" w:cstheme="majorHAnsi"/>
                <w:sz w:val="22"/>
                <w:szCs w:val="22"/>
                <w:lang w:val="en-ZA"/>
              </w:rPr>
              <w:t>7.1.5.3  where all the students in the class group have been invited to vote by means of secret ballot (to have the module presented in Afrikaans only or English only), and those students who have voted, unanimously agree to it.</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 xml:space="preserve">Or, if the language in question is a module that focusses on the acquisition or study of a language itself, the module can be </w:t>
            </w:r>
            <w:r w:rsidRPr="00F441C5">
              <w:rPr>
                <w:rFonts w:asciiTheme="majorHAnsi" w:hAnsiTheme="majorHAnsi" w:cstheme="majorHAnsi"/>
                <w:i/>
                <w:sz w:val="22"/>
                <w:szCs w:val="22"/>
                <w:lang w:val="en-ZA"/>
              </w:rPr>
              <w:t>waived</w:t>
            </w:r>
            <w:r w:rsidRPr="00F441C5">
              <w:rPr>
                <w:rFonts w:asciiTheme="majorHAnsi" w:hAnsiTheme="majorHAnsi" w:cstheme="majorHAnsi"/>
                <w:sz w:val="22"/>
                <w:szCs w:val="22"/>
                <w:lang w:val="en-ZA"/>
              </w:rPr>
              <w:t xml:space="preserve"> from being categorised into one of these options.</w:t>
            </w:r>
          </w:p>
          <w:p w:rsidR="00F441C5" w:rsidRPr="00F441C5" w:rsidRDefault="00F441C5" w:rsidP="00D673F5">
            <w:pPr>
              <w:rPr>
                <w:rFonts w:asciiTheme="majorHAnsi" w:hAnsiTheme="majorHAnsi" w:cstheme="majorHAnsi"/>
                <w:sz w:val="22"/>
                <w:szCs w:val="22"/>
                <w:lang w:val="en-ZA"/>
              </w:rPr>
            </w:pP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i/>
                <w:sz w:val="22"/>
                <w:szCs w:val="22"/>
                <w:lang w:val="en-ZA"/>
              </w:rPr>
              <w:t>Postgraduate</w:t>
            </w:r>
            <w:r w:rsidRPr="00F441C5">
              <w:rPr>
                <w:rFonts w:asciiTheme="majorHAnsi" w:hAnsiTheme="majorHAnsi" w:cstheme="majorHAnsi"/>
                <w:sz w:val="22"/>
                <w:szCs w:val="22"/>
                <w:lang w:val="en-ZA"/>
              </w:rPr>
              <w:t xml:space="preserve"> modules are by default presented in English only.  However if a postgraduate module will be presented in one of the prescribed language options, please indicate which language option will be used.</w:t>
            </w:r>
          </w:p>
        </w:tc>
      </w:tr>
    </w:tbl>
    <w:p w:rsidR="00F441C5" w:rsidRPr="00F441C5" w:rsidRDefault="00F441C5" w:rsidP="00F441C5">
      <w:pPr>
        <w:rPr>
          <w:rFonts w:asciiTheme="minorHAnsi" w:hAnsiTheme="minorHAnsi" w:cstheme="minorHAnsi"/>
          <w:sz w:val="22"/>
          <w:szCs w:val="22"/>
          <w:lang w:val="en-ZA"/>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441C5" w:rsidRPr="00F441C5" w:rsidTr="00D673F5">
        <w:tc>
          <w:tcPr>
            <w:tcW w:w="9918" w:type="dxa"/>
          </w:tcPr>
          <w:p w:rsidR="00F441C5" w:rsidRPr="00F441C5" w:rsidRDefault="00F441C5" w:rsidP="00D673F5">
            <w:pPr>
              <w:rPr>
                <w:rFonts w:asciiTheme="majorHAnsi" w:hAnsiTheme="majorHAnsi" w:cstheme="majorHAnsi"/>
                <w:b/>
                <w:sz w:val="22"/>
                <w:szCs w:val="22"/>
                <w:lang w:val="en-ZA"/>
              </w:rPr>
            </w:pPr>
            <w:bookmarkStart w:id="4" w:name="Subject"/>
            <w:r w:rsidRPr="00F441C5">
              <w:rPr>
                <w:rFonts w:asciiTheme="majorHAnsi" w:hAnsiTheme="majorHAnsi" w:cstheme="majorHAnsi"/>
                <w:b/>
                <w:sz w:val="22"/>
                <w:szCs w:val="22"/>
                <w:lang w:val="en-ZA"/>
              </w:rPr>
              <w:t>Subject</w:t>
            </w:r>
            <w:bookmarkEnd w:id="4"/>
            <w:r w:rsidRPr="00F441C5">
              <w:rPr>
                <w:rFonts w:asciiTheme="majorHAnsi" w:hAnsiTheme="majorHAnsi" w:cstheme="majorHAnsi"/>
                <w:b/>
                <w:sz w:val="22"/>
                <w:szCs w:val="22"/>
                <w:lang w:val="en-ZA"/>
              </w:rPr>
              <w:t>:</w:t>
            </w:r>
          </w:p>
        </w:tc>
      </w:tr>
      <w:tr w:rsidR="00F441C5" w:rsidRPr="00F441C5" w:rsidTr="00D673F5">
        <w:tc>
          <w:tcPr>
            <w:tcW w:w="9918" w:type="dxa"/>
          </w:tcPr>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The subject is the branch of knowledge studied or taught (at Stellenbosch University the subject is usually allocated a 5 digit code).  A subject can be sub divided into multiple modules, e.g.</w:t>
            </w: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Subject: Physics</w:t>
            </w:r>
          </w:p>
          <w:p w:rsidR="00F441C5" w:rsidRPr="00F441C5" w:rsidRDefault="00F441C5" w:rsidP="00D673F5">
            <w:pPr>
              <w:rPr>
                <w:rFonts w:asciiTheme="majorHAnsi" w:hAnsiTheme="majorHAnsi" w:cstheme="majorHAnsi"/>
                <w:sz w:val="22"/>
                <w:szCs w:val="22"/>
                <w:lang w:val="en-ZA"/>
              </w:rPr>
            </w:pPr>
            <w:r w:rsidRPr="00F441C5">
              <w:rPr>
                <w:rFonts w:asciiTheme="majorHAnsi" w:hAnsiTheme="majorHAnsi" w:cstheme="majorHAnsi"/>
                <w:sz w:val="22"/>
                <w:szCs w:val="22"/>
                <w:lang w:val="en-ZA"/>
              </w:rPr>
              <w:t>Modules: Nuclear Physics 214, Newtonian Physics 278, etc.</w:t>
            </w:r>
          </w:p>
        </w:tc>
      </w:tr>
    </w:tbl>
    <w:p w:rsidR="00F441C5" w:rsidRPr="00F441C5" w:rsidRDefault="00F441C5" w:rsidP="00F441C5">
      <w:pPr>
        <w:rPr>
          <w:rFonts w:asciiTheme="minorHAnsi" w:hAnsiTheme="minorHAnsi" w:cstheme="minorHAnsi"/>
          <w:sz w:val="22"/>
          <w:szCs w:val="22"/>
          <w:lang w:val="en-ZA"/>
        </w:rPr>
      </w:pPr>
    </w:p>
    <w:p w:rsidR="00D10785" w:rsidRPr="00F441C5" w:rsidRDefault="00D10785">
      <w:pPr>
        <w:rPr>
          <w:sz w:val="22"/>
          <w:szCs w:val="22"/>
        </w:rPr>
      </w:pPr>
      <w:bookmarkStart w:id="5" w:name="_GoBack"/>
      <w:bookmarkEnd w:id="5"/>
    </w:p>
    <w:sectPr w:rsidR="00D10785" w:rsidRPr="00F441C5" w:rsidSect="00817BDF">
      <w:footerReference w:type="default" r:id="rId9"/>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42" w:rsidRDefault="00833FF9">
    <w:pPr>
      <w:pStyle w:val="Footer"/>
    </w:pPr>
  </w:p>
  <w:p w:rsidR="00156642" w:rsidRDefault="00833FF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C5"/>
    <w:rsid w:val="00833FF9"/>
    <w:rsid w:val="00D10785"/>
    <w:rsid w:val="00F441C5"/>
    <w:rsid w:val="00F46A3F"/>
    <w:rsid w:val="00F803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5F56"/>
  <w15:chartTrackingRefBased/>
  <w15:docId w15:val="{FE4213C9-E83F-45E5-BD7D-CB12F75E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C5"/>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1C5"/>
    <w:rPr>
      <w:color w:val="0000FF"/>
      <w:u w:val="single"/>
    </w:rPr>
  </w:style>
  <w:style w:type="table" w:styleId="TableGrid">
    <w:name w:val="Table Grid"/>
    <w:basedOn w:val="TableNormal"/>
    <w:rsid w:val="00F44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441C5"/>
    <w:pPr>
      <w:tabs>
        <w:tab w:val="center" w:pos="4513"/>
        <w:tab w:val="right" w:pos="9026"/>
      </w:tabs>
    </w:pPr>
  </w:style>
  <w:style w:type="character" w:customStyle="1" w:styleId="FooterChar">
    <w:name w:val="Footer Char"/>
    <w:basedOn w:val="DefaultParagraphFont"/>
    <w:link w:val="Footer"/>
    <w:uiPriority w:val="99"/>
    <w:rsid w:val="00F441C5"/>
    <w:rPr>
      <w:rFonts w:ascii="Arial" w:eastAsia="Times New Roman" w:hAnsi="Arial" w:cs="Times New Roman"/>
      <w:sz w:val="20"/>
      <w:szCs w:val="20"/>
      <w:lang w:val="en-US"/>
    </w:rPr>
  </w:style>
  <w:style w:type="paragraph" w:styleId="FootnoteText">
    <w:name w:val="footnote text"/>
    <w:basedOn w:val="Normal"/>
    <w:link w:val="FootnoteTextChar"/>
    <w:rsid w:val="00F441C5"/>
  </w:style>
  <w:style w:type="character" w:customStyle="1" w:styleId="FootnoteTextChar">
    <w:name w:val="Footnote Text Char"/>
    <w:basedOn w:val="DefaultParagraphFont"/>
    <w:link w:val="FootnoteText"/>
    <w:rsid w:val="00F441C5"/>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ac.za/english/learning-teaching/learning-teaching-enhancement/APQ/Documents/Academic%20Planning/Writing_and_using_learning-outcomes.pdf"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sun.ac.za/english/learning-teaching/learning-teaching-enhancement/APQ/Documents/Academic%20Planning/BloomsTaxonomyVerbs.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ac.za/english/learning-teaching/learning-teaching-enhancement/APQ/Documents/Academic%20Planning/SAQA%20level_descriptors%20Nov%202012.pdf" TargetMode="External"/><Relationship Id="rId11" Type="http://schemas.openxmlformats.org/officeDocument/2006/relationships/theme" Target="theme/theme1.xml"/><Relationship Id="rId5" Type="http://schemas.openxmlformats.org/officeDocument/2006/relationships/hyperlink" Target="https://www.sun.ac.za/english/learning-teaching/learning-teaching-enhancement/APQ/Documents/Academic%20Planning/CESM_August2008_%26Addendum_2014.pdf" TargetMode="External"/><Relationship Id="rId10" Type="http://schemas.openxmlformats.org/officeDocument/2006/relationships/fontTable" Target="fontTable.xml"/><Relationship Id="rId4" Type="http://schemas.openxmlformats.org/officeDocument/2006/relationships/hyperlink" Target="https://www.sun.ac.za/english/learning-teaching/learning-teaching-enhancement/APQ/Documents/Academic%20Planning/HEQSF%20Government%20Gazette%2038116%2017%20October%202014.pdf" TargetMode="Externa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0BCAD-6E2A-4592-A5A1-C117C30E3574}"/>
</file>

<file path=customXml/itemProps2.xml><?xml version="1.0" encoding="utf-8"?>
<ds:datastoreItem xmlns:ds="http://schemas.openxmlformats.org/officeDocument/2006/customXml" ds:itemID="{AC5CE211-E001-4A72-8894-0A9794BB944E}"/>
</file>

<file path=customXml/itemProps3.xml><?xml version="1.0" encoding="utf-8"?>
<ds:datastoreItem xmlns:ds="http://schemas.openxmlformats.org/officeDocument/2006/customXml" ds:itemID="{05DD67FC-E4F7-4B5B-9247-EA82A28D6C16}"/>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Vyver, M, Mev [melissavdv@sun.ac.za]</dc:creator>
  <cp:keywords/>
  <dc:description/>
  <cp:lastModifiedBy>Van der Vyver, M, Mev [melissavdv@sun.ac.za]</cp:lastModifiedBy>
  <cp:revision>1</cp:revision>
  <dcterms:created xsi:type="dcterms:W3CDTF">2019-02-12T07:01:00Z</dcterms:created>
  <dcterms:modified xsi:type="dcterms:W3CDTF">2019-02-12T07:24:00Z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