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DF9B" w14:textId="77777777" w:rsidR="00310969" w:rsidRDefault="00310969">
      <w:pPr>
        <w:pStyle w:val="BodyText"/>
        <w:spacing w:before="3"/>
        <w:rPr>
          <w:rFonts w:ascii="Times New Roman"/>
          <w:sz w:val="29"/>
        </w:rPr>
      </w:pPr>
    </w:p>
    <w:p w14:paraId="720B0A1B" w14:textId="77777777" w:rsidR="00310969" w:rsidRDefault="00572F4F">
      <w:pPr>
        <w:spacing w:before="52"/>
        <w:ind w:left="425" w:right="425"/>
        <w:jc w:val="center"/>
        <w:rPr>
          <w:rFonts w:ascii="Calibri"/>
          <w:b/>
          <w:sz w:val="24"/>
        </w:rPr>
      </w:pPr>
      <w:r>
        <w:rPr>
          <w:rFonts w:ascii="Calibri"/>
          <w:b/>
          <w:sz w:val="24"/>
        </w:rPr>
        <w:t>Health</w:t>
      </w:r>
      <w:r>
        <w:rPr>
          <w:rFonts w:ascii="Calibri"/>
          <w:b/>
          <w:spacing w:val="-4"/>
          <w:sz w:val="24"/>
        </w:rPr>
        <w:t xml:space="preserve"> </w:t>
      </w:r>
      <w:r>
        <w:rPr>
          <w:rFonts w:ascii="Calibri"/>
          <w:b/>
          <w:sz w:val="24"/>
        </w:rPr>
        <w:t>Research</w:t>
      </w:r>
      <w:r>
        <w:rPr>
          <w:rFonts w:ascii="Calibri"/>
          <w:b/>
          <w:spacing w:val="-2"/>
          <w:sz w:val="24"/>
        </w:rPr>
        <w:t xml:space="preserve"> </w:t>
      </w:r>
      <w:r>
        <w:rPr>
          <w:rFonts w:ascii="Calibri"/>
          <w:b/>
          <w:sz w:val="24"/>
        </w:rPr>
        <w:t>Ethics</w:t>
      </w:r>
      <w:r>
        <w:rPr>
          <w:rFonts w:ascii="Calibri"/>
          <w:b/>
          <w:spacing w:val="-5"/>
          <w:sz w:val="24"/>
        </w:rPr>
        <w:t xml:space="preserve"> </w:t>
      </w:r>
      <w:r>
        <w:rPr>
          <w:rFonts w:ascii="Calibri"/>
          <w:b/>
          <w:sz w:val="24"/>
        </w:rPr>
        <w:t>Committee</w:t>
      </w:r>
      <w:r>
        <w:rPr>
          <w:rFonts w:ascii="Calibri"/>
          <w:b/>
          <w:spacing w:val="-3"/>
          <w:sz w:val="24"/>
        </w:rPr>
        <w:t xml:space="preserve"> </w:t>
      </w:r>
      <w:r>
        <w:rPr>
          <w:rFonts w:ascii="Calibri"/>
          <w:b/>
          <w:spacing w:val="-2"/>
          <w:sz w:val="24"/>
        </w:rPr>
        <w:t>(HREC)</w:t>
      </w:r>
    </w:p>
    <w:p w14:paraId="2C8FB4FB" w14:textId="77777777" w:rsidR="00310969" w:rsidRDefault="00310969">
      <w:pPr>
        <w:pStyle w:val="BodyText"/>
        <w:rPr>
          <w:rFonts w:ascii="Calibri"/>
          <w:b/>
          <w:sz w:val="24"/>
        </w:rPr>
      </w:pPr>
    </w:p>
    <w:p w14:paraId="201ECEBD" w14:textId="77777777" w:rsidR="00310969" w:rsidRDefault="00572F4F">
      <w:pPr>
        <w:pStyle w:val="Title"/>
        <w:spacing w:line="276" w:lineRule="auto"/>
      </w:pPr>
      <w:r>
        <w:rPr>
          <w:color w:val="006FC0"/>
        </w:rPr>
        <w:t>Material</w:t>
      </w:r>
      <w:r>
        <w:rPr>
          <w:color w:val="006FC0"/>
          <w:spacing w:val="-4"/>
        </w:rPr>
        <w:t xml:space="preserve"> </w:t>
      </w:r>
      <w:r>
        <w:rPr>
          <w:color w:val="006FC0"/>
        </w:rPr>
        <w:t>Transfer</w:t>
      </w:r>
      <w:r>
        <w:rPr>
          <w:color w:val="006FC0"/>
          <w:spacing w:val="-4"/>
        </w:rPr>
        <w:t xml:space="preserve"> </w:t>
      </w:r>
      <w:r>
        <w:rPr>
          <w:color w:val="006FC0"/>
        </w:rPr>
        <w:t>Agreement</w:t>
      </w:r>
      <w:r>
        <w:rPr>
          <w:color w:val="006FC0"/>
          <w:spacing w:val="-4"/>
        </w:rPr>
        <w:t xml:space="preserve"> </w:t>
      </w:r>
      <w:r>
        <w:rPr>
          <w:color w:val="006FC0"/>
        </w:rPr>
        <w:t>(MTA)</w:t>
      </w:r>
      <w:r>
        <w:rPr>
          <w:color w:val="006FC0"/>
          <w:spacing w:val="-6"/>
        </w:rPr>
        <w:t xml:space="preserve"> </w:t>
      </w:r>
      <w:r>
        <w:rPr>
          <w:color w:val="006FC0"/>
        </w:rPr>
        <w:t>and</w:t>
      </w:r>
      <w:r>
        <w:rPr>
          <w:color w:val="006FC0"/>
          <w:spacing w:val="-4"/>
        </w:rPr>
        <w:t xml:space="preserve"> </w:t>
      </w:r>
      <w:r>
        <w:rPr>
          <w:color w:val="006FC0"/>
        </w:rPr>
        <w:t>Data</w:t>
      </w:r>
      <w:r>
        <w:rPr>
          <w:color w:val="006FC0"/>
          <w:spacing w:val="-4"/>
        </w:rPr>
        <w:t xml:space="preserve"> </w:t>
      </w:r>
      <w:r>
        <w:rPr>
          <w:color w:val="006FC0"/>
        </w:rPr>
        <w:t>Transfer</w:t>
      </w:r>
      <w:r>
        <w:rPr>
          <w:color w:val="006FC0"/>
          <w:spacing w:val="-4"/>
        </w:rPr>
        <w:t xml:space="preserve"> </w:t>
      </w:r>
      <w:r>
        <w:rPr>
          <w:color w:val="006FC0"/>
        </w:rPr>
        <w:t>Agreement</w:t>
      </w:r>
      <w:r>
        <w:rPr>
          <w:color w:val="006FC0"/>
          <w:spacing w:val="-4"/>
        </w:rPr>
        <w:t xml:space="preserve"> </w:t>
      </w:r>
      <w:r>
        <w:rPr>
          <w:color w:val="006FC0"/>
        </w:rPr>
        <w:t>(DTA) HREC requirements and processes</w:t>
      </w:r>
    </w:p>
    <w:p w14:paraId="58EDDC0F" w14:textId="77777777" w:rsidR="00310969" w:rsidRDefault="00310969">
      <w:pPr>
        <w:pStyle w:val="BodyText"/>
        <w:rPr>
          <w:rFonts w:ascii="Calibri"/>
          <w:b/>
          <w:sz w:val="28"/>
        </w:rPr>
      </w:pPr>
    </w:p>
    <w:p w14:paraId="38201C84" w14:textId="77777777" w:rsidR="00310969" w:rsidRDefault="00310969">
      <w:pPr>
        <w:pStyle w:val="BodyText"/>
        <w:spacing w:before="10"/>
        <w:rPr>
          <w:rFonts w:ascii="Calibri"/>
          <w:b/>
          <w:sz w:val="29"/>
        </w:rPr>
      </w:pPr>
    </w:p>
    <w:p w14:paraId="785A9014" w14:textId="77777777" w:rsidR="00310969" w:rsidRDefault="00310969">
      <w:pPr>
        <w:pStyle w:val="BodyText"/>
        <w:spacing w:before="4"/>
        <w:rPr>
          <w:rFonts w:ascii="Calibri"/>
          <w:sz w:val="16"/>
        </w:rPr>
      </w:pPr>
    </w:p>
    <w:p w14:paraId="455644E7" w14:textId="77777777" w:rsidR="00310969" w:rsidRDefault="00572F4F">
      <w:pPr>
        <w:spacing w:line="276" w:lineRule="auto"/>
        <w:ind w:left="120" w:right="115"/>
        <w:jc w:val="both"/>
        <w:rPr>
          <w:rFonts w:ascii="Calibri"/>
          <w:b/>
        </w:rPr>
      </w:pPr>
      <w:r>
        <w:rPr>
          <w:rFonts w:ascii="Calibri"/>
        </w:rPr>
        <w:t>Kindly</w:t>
      </w:r>
      <w:r>
        <w:rPr>
          <w:rFonts w:ascii="Calibri"/>
          <w:spacing w:val="-2"/>
        </w:rPr>
        <w:t xml:space="preserve"> </w:t>
      </w:r>
      <w:r>
        <w:rPr>
          <w:rFonts w:ascii="Calibri"/>
        </w:rPr>
        <w:t>see</w:t>
      </w:r>
      <w:r>
        <w:rPr>
          <w:rFonts w:ascii="Calibri"/>
          <w:spacing w:val="-2"/>
        </w:rPr>
        <w:t xml:space="preserve"> </w:t>
      </w:r>
      <w:r>
        <w:rPr>
          <w:rFonts w:ascii="Calibri"/>
        </w:rPr>
        <w:t>below</w:t>
      </w:r>
      <w:r>
        <w:rPr>
          <w:rFonts w:ascii="Calibri"/>
          <w:spacing w:val="-4"/>
        </w:rPr>
        <w:t xml:space="preserve"> </w:t>
      </w:r>
      <w:r>
        <w:rPr>
          <w:rFonts w:ascii="Calibri"/>
        </w:rPr>
        <w:t>clarity</w:t>
      </w:r>
      <w:r>
        <w:rPr>
          <w:rFonts w:ascii="Calibri"/>
          <w:spacing w:val="-4"/>
        </w:rPr>
        <w:t xml:space="preserve"> </w:t>
      </w:r>
      <w:r>
        <w:rPr>
          <w:rFonts w:ascii="Calibri"/>
        </w:rPr>
        <w:t>on</w:t>
      </w:r>
      <w:r>
        <w:rPr>
          <w:rFonts w:ascii="Calibri"/>
          <w:spacing w:val="-5"/>
        </w:rPr>
        <w:t xml:space="preserve"> </w:t>
      </w:r>
      <w:r>
        <w:rPr>
          <w:rFonts w:ascii="Calibri"/>
        </w:rPr>
        <w:t>the</w:t>
      </w:r>
      <w:r>
        <w:rPr>
          <w:rFonts w:ascii="Calibri"/>
          <w:spacing w:val="-2"/>
        </w:rPr>
        <w:t xml:space="preserve"> </w:t>
      </w:r>
      <w:r>
        <w:rPr>
          <w:rFonts w:ascii="Calibri"/>
          <w:b/>
        </w:rPr>
        <w:t>HREC</w:t>
      </w:r>
      <w:r>
        <w:rPr>
          <w:rFonts w:ascii="Calibri"/>
          <w:b/>
          <w:spacing w:val="-2"/>
        </w:rPr>
        <w:t xml:space="preserve"> </w:t>
      </w:r>
      <w:r>
        <w:rPr>
          <w:rFonts w:ascii="Calibri"/>
          <w:b/>
        </w:rPr>
        <w:t>and</w:t>
      </w:r>
      <w:r>
        <w:rPr>
          <w:rFonts w:ascii="Calibri"/>
          <w:b/>
          <w:spacing w:val="-4"/>
        </w:rPr>
        <w:t xml:space="preserve"> </w:t>
      </w:r>
      <w:r>
        <w:rPr>
          <w:rFonts w:ascii="Calibri"/>
          <w:b/>
        </w:rPr>
        <w:t>SU</w:t>
      </w:r>
      <w:r>
        <w:rPr>
          <w:rFonts w:ascii="Calibri"/>
          <w:b/>
          <w:spacing w:val="-4"/>
        </w:rPr>
        <w:t xml:space="preserve"> </w:t>
      </w:r>
      <w:r>
        <w:rPr>
          <w:rFonts w:ascii="Calibri"/>
          <w:b/>
        </w:rPr>
        <w:t>institutional</w:t>
      </w:r>
      <w:r>
        <w:rPr>
          <w:rFonts w:ascii="Calibri"/>
          <w:b/>
          <w:spacing w:val="-2"/>
        </w:rPr>
        <w:t xml:space="preserve"> </w:t>
      </w:r>
      <w:r>
        <w:rPr>
          <w:rFonts w:ascii="Calibri"/>
          <w:b/>
        </w:rPr>
        <w:t>processes</w:t>
      </w:r>
      <w:r>
        <w:rPr>
          <w:rFonts w:ascii="Calibri"/>
          <w:b/>
          <w:spacing w:val="-2"/>
        </w:rPr>
        <w:t xml:space="preserve"> </w:t>
      </w:r>
      <w:r>
        <w:rPr>
          <w:rFonts w:ascii="Calibri"/>
          <w:b/>
        </w:rPr>
        <w:t>and</w:t>
      </w:r>
      <w:r>
        <w:rPr>
          <w:rFonts w:ascii="Calibri"/>
          <w:b/>
          <w:spacing w:val="-4"/>
        </w:rPr>
        <w:t xml:space="preserve"> </w:t>
      </w:r>
      <w:r>
        <w:rPr>
          <w:rFonts w:ascii="Calibri"/>
          <w:b/>
        </w:rPr>
        <w:t>requirements</w:t>
      </w:r>
      <w:r>
        <w:rPr>
          <w:rFonts w:ascii="Calibri"/>
          <w:b/>
          <w:spacing w:val="-2"/>
        </w:rPr>
        <w:t xml:space="preserve"> </w:t>
      </w:r>
      <w:r>
        <w:rPr>
          <w:rFonts w:ascii="Calibri"/>
          <w:b/>
        </w:rPr>
        <w:t>for</w:t>
      </w:r>
      <w:r>
        <w:rPr>
          <w:rFonts w:ascii="Calibri"/>
          <w:b/>
          <w:spacing w:val="-2"/>
        </w:rPr>
        <w:t xml:space="preserve"> </w:t>
      </w:r>
      <w:r>
        <w:rPr>
          <w:rFonts w:ascii="Calibri"/>
          <w:b/>
        </w:rPr>
        <w:t>MTAs</w:t>
      </w:r>
      <w:r>
        <w:rPr>
          <w:rFonts w:ascii="Calibri"/>
          <w:b/>
          <w:spacing w:val="-2"/>
        </w:rPr>
        <w:t xml:space="preserve"> </w:t>
      </w:r>
      <w:r>
        <w:rPr>
          <w:rFonts w:ascii="Calibri"/>
          <w:b/>
        </w:rPr>
        <w:t xml:space="preserve">and </w:t>
      </w:r>
      <w:r>
        <w:rPr>
          <w:rFonts w:ascii="Calibri"/>
          <w:b/>
          <w:spacing w:val="-4"/>
        </w:rPr>
        <w:t>DTAs:</w:t>
      </w:r>
    </w:p>
    <w:p w14:paraId="199E32A7" w14:textId="77777777" w:rsidR="00310969" w:rsidRDefault="00310969">
      <w:pPr>
        <w:pStyle w:val="BodyText"/>
        <w:spacing w:before="7"/>
        <w:rPr>
          <w:rFonts w:ascii="Calibri"/>
          <w:b/>
          <w:sz w:val="19"/>
        </w:rPr>
      </w:pPr>
    </w:p>
    <w:p w14:paraId="6509F740" w14:textId="539AE233" w:rsidR="00310969" w:rsidRDefault="00572F4F">
      <w:pPr>
        <w:pStyle w:val="ListParagraph"/>
        <w:numPr>
          <w:ilvl w:val="0"/>
          <w:numId w:val="1"/>
        </w:numPr>
        <w:tabs>
          <w:tab w:val="left" w:pos="837"/>
          <w:tab w:val="left" w:pos="840"/>
        </w:tabs>
      </w:pPr>
      <w:r>
        <w:t>A</w:t>
      </w:r>
      <w:r>
        <w:rPr>
          <w:spacing w:val="-5"/>
        </w:rPr>
        <w:t xml:space="preserve"> </w:t>
      </w:r>
      <w:r>
        <w:t>material</w:t>
      </w:r>
      <w:r>
        <w:rPr>
          <w:spacing w:val="-5"/>
        </w:rPr>
        <w:t xml:space="preserve"> </w:t>
      </w:r>
      <w:r>
        <w:t>transfer</w:t>
      </w:r>
      <w:r>
        <w:rPr>
          <w:spacing w:val="-4"/>
        </w:rPr>
        <w:t xml:space="preserve"> </w:t>
      </w:r>
      <w:r>
        <w:t>agreement</w:t>
      </w:r>
      <w:r>
        <w:rPr>
          <w:spacing w:val="-4"/>
        </w:rPr>
        <w:t xml:space="preserve"> </w:t>
      </w:r>
      <w:r>
        <w:t>(MTA)</w:t>
      </w:r>
      <w:r>
        <w:rPr>
          <w:spacing w:val="-4"/>
        </w:rPr>
        <w:t xml:space="preserve"> </w:t>
      </w:r>
      <w:r>
        <w:t>or</w:t>
      </w:r>
      <w:r>
        <w:rPr>
          <w:spacing w:val="-4"/>
        </w:rPr>
        <w:t xml:space="preserve"> </w:t>
      </w:r>
      <w:r>
        <w:t>data</w:t>
      </w:r>
      <w:r>
        <w:rPr>
          <w:spacing w:val="-5"/>
        </w:rPr>
        <w:t xml:space="preserve"> </w:t>
      </w:r>
      <w:r>
        <w:t>transfer</w:t>
      </w:r>
      <w:r>
        <w:rPr>
          <w:spacing w:val="-7"/>
        </w:rPr>
        <w:t xml:space="preserve"> </w:t>
      </w:r>
      <w:r>
        <w:t>agreement</w:t>
      </w:r>
      <w:r>
        <w:rPr>
          <w:spacing w:val="-4"/>
        </w:rPr>
        <w:t xml:space="preserve"> </w:t>
      </w:r>
      <w:r>
        <w:t>(DTA)</w:t>
      </w:r>
      <w:r>
        <w:rPr>
          <w:spacing w:val="-4"/>
        </w:rPr>
        <w:t xml:space="preserve"> </w:t>
      </w:r>
      <w:r>
        <w:t>is</w:t>
      </w:r>
      <w:r>
        <w:rPr>
          <w:spacing w:val="-4"/>
        </w:rPr>
        <w:t xml:space="preserve"> </w:t>
      </w:r>
      <w:r>
        <w:t>required to move research materials and/or data between institutions and/or countries</w:t>
      </w:r>
      <w:r w:rsidR="001D0DBD">
        <w:t>. (Please see separate guidance on DTA on the HREC website.)</w:t>
      </w:r>
    </w:p>
    <w:p w14:paraId="4A5F3023" w14:textId="77777777" w:rsidR="00310969" w:rsidRDefault="00310969">
      <w:pPr>
        <w:pStyle w:val="BodyText"/>
        <w:spacing w:before="8"/>
        <w:rPr>
          <w:rFonts w:ascii="Calibri"/>
          <w:sz w:val="19"/>
        </w:rPr>
      </w:pPr>
    </w:p>
    <w:p w14:paraId="40C6790B" w14:textId="181ABB4C" w:rsidR="00310969" w:rsidRDefault="00572F4F" w:rsidP="001D0DBD">
      <w:pPr>
        <w:pStyle w:val="ListParagraph"/>
        <w:numPr>
          <w:ilvl w:val="0"/>
          <w:numId w:val="1"/>
        </w:numPr>
        <w:tabs>
          <w:tab w:val="left" w:pos="838"/>
          <w:tab w:val="left" w:pos="840"/>
          <w:tab w:val="left" w:pos="2219"/>
          <w:tab w:val="left" w:pos="2968"/>
          <w:tab w:val="left" w:pos="3902"/>
          <w:tab w:val="left" w:pos="4785"/>
          <w:tab w:val="left" w:pos="5709"/>
          <w:tab w:val="left" w:pos="6676"/>
          <w:tab w:val="left" w:pos="8006"/>
        </w:tabs>
        <w:ind w:hanging="360"/>
        <w:jc w:val="both"/>
      </w:pPr>
      <w:r>
        <w:t>If</w:t>
      </w:r>
      <w:r>
        <w:rPr>
          <w:spacing w:val="40"/>
        </w:rPr>
        <w:t xml:space="preserve"> </w:t>
      </w:r>
      <w:r>
        <w:t>material</w:t>
      </w:r>
      <w:r>
        <w:rPr>
          <w:spacing w:val="40"/>
        </w:rPr>
        <w:t xml:space="preserve"> </w:t>
      </w:r>
      <w:r>
        <w:t>or</w:t>
      </w:r>
      <w:r>
        <w:rPr>
          <w:spacing w:val="40"/>
        </w:rPr>
        <w:t xml:space="preserve"> </w:t>
      </w:r>
      <w:r>
        <w:t>data</w:t>
      </w:r>
      <w:r>
        <w:rPr>
          <w:spacing w:val="40"/>
        </w:rPr>
        <w:t xml:space="preserve"> </w:t>
      </w:r>
      <w:r>
        <w:t>transfer</w:t>
      </w:r>
      <w:r>
        <w:rPr>
          <w:spacing w:val="40"/>
        </w:rPr>
        <w:t xml:space="preserve"> </w:t>
      </w:r>
      <w:r>
        <w:t>is</w:t>
      </w:r>
      <w:r>
        <w:rPr>
          <w:spacing w:val="40"/>
        </w:rPr>
        <w:t xml:space="preserve"> </w:t>
      </w:r>
      <w:r>
        <w:t>anticipated</w:t>
      </w:r>
      <w:r>
        <w:rPr>
          <w:spacing w:val="40"/>
        </w:rPr>
        <w:t xml:space="preserve"> </w:t>
      </w:r>
      <w:r>
        <w:t>in</w:t>
      </w:r>
      <w:r>
        <w:rPr>
          <w:spacing w:val="40"/>
        </w:rPr>
        <w:t xml:space="preserve"> </w:t>
      </w:r>
      <w:r>
        <w:t>a</w:t>
      </w:r>
      <w:r>
        <w:rPr>
          <w:spacing w:val="40"/>
        </w:rPr>
        <w:t xml:space="preserve"> </w:t>
      </w:r>
      <w:r>
        <w:t>project,</w:t>
      </w:r>
      <w:r>
        <w:rPr>
          <w:spacing w:val="40"/>
        </w:rPr>
        <w:t xml:space="preserve"> </w:t>
      </w:r>
      <w:r>
        <w:t>the</w:t>
      </w:r>
      <w:r>
        <w:rPr>
          <w:spacing w:val="40"/>
        </w:rPr>
        <w:t xml:space="preserve"> </w:t>
      </w:r>
      <w:r>
        <w:t>research</w:t>
      </w:r>
      <w:r>
        <w:rPr>
          <w:spacing w:val="40"/>
        </w:rPr>
        <w:t xml:space="preserve"> </w:t>
      </w:r>
      <w:r>
        <w:t xml:space="preserve">applicant </w:t>
      </w:r>
      <w:r>
        <w:rPr>
          <w:spacing w:val="-2"/>
        </w:rPr>
        <w:t>completes</w:t>
      </w:r>
      <w:r w:rsidR="001D0DBD">
        <w:rPr>
          <w:spacing w:val="-2"/>
        </w:rPr>
        <w:t xml:space="preserve"> </w:t>
      </w:r>
      <w:r>
        <w:rPr>
          <w:spacing w:val="-4"/>
        </w:rPr>
        <w:t>the</w:t>
      </w:r>
      <w:r>
        <w:tab/>
      </w:r>
      <w:r>
        <w:rPr>
          <w:b/>
          <w:spacing w:val="-4"/>
        </w:rPr>
        <w:t>HREC</w:t>
      </w:r>
      <w:r w:rsidR="001D0DBD">
        <w:rPr>
          <w:b/>
          <w:spacing w:val="-4"/>
        </w:rPr>
        <w:t xml:space="preserve"> </w:t>
      </w:r>
      <w:r>
        <w:rPr>
          <w:b/>
          <w:spacing w:val="-4"/>
        </w:rPr>
        <w:t>MTA</w:t>
      </w:r>
      <w:r w:rsidR="001D0DBD">
        <w:rPr>
          <w:b/>
          <w:spacing w:val="-4"/>
        </w:rPr>
        <w:t xml:space="preserve">/DTA </w:t>
      </w:r>
      <w:r>
        <w:rPr>
          <w:b/>
          <w:spacing w:val="-4"/>
        </w:rPr>
        <w:t>Term</w:t>
      </w:r>
      <w:r w:rsidR="001D0DBD">
        <w:rPr>
          <w:b/>
          <w:spacing w:val="-4"/>
        </w:rPr>
        <w:t xml:space="preserve"> </w:t>
      </w:r>
      <w:r>
        <w:rPr>
          <w:b/>
          <w:spacing w:val="-2"/>
        </w:rPr>
        <w:t>Sheet</w:t>
      </w:r>
      <w:r w:rsidR="001D0DBD">
        <w:rPr>
          <w:b/>
          <w:spacing w:val="-2"/>
        </w:rPr>
        <w:t xml:space="preserve"> </w:t>
      </w:r>
      <w:r>
        <w:rPr>
          <w:b/>
        </w:rPr>
        <w:tab/>
      </w:r>
      <w:r>
        <w:rPr>
          <w:spacing w:val="-2"/>
        </w:rPr>
        <w:t>(Available</w:t>
      </w:r>
      <w:r>
        <w:tab/>
      </w:r>
      <w:r>
        <w:rPr>
          <w:spacing w:val="-6"/>
        </w:rPr>
        <w:t xml:space="preserve">at </w:t>
      </w:r>
      <w:hyperlink r:id="rId10">
        <w:r>
          <w:rPr>
            <w:spacing w:val="-2"/>
            <w:u w:val="single"/>
          </w:rPr>
          <w:t>http://www.sun.ac.za/english/faculty/healthsciences/rdsd/Pages/Ethics/Forms-</w:t>
        </w:r>
      </w:hyperlink>
      <w:r>
        <w:rPr>
          <w:spacing w:val="-2"/>
        </w:rPr>
        <w:t xml:space="preserve"> </w:t>
      </w:r>
      <w:hyperlink r:id="rId11">
        <w:r>
          <w:rPr>
            <w:u w:val="single"/>
          </w:rPr>
          <w:t>Instructions.aspx</w:t>
        </w:r>
      </w:hyperlink>
      <w:r>
        <w:t xml:space="preserve">) and submits this completed term sheet along with their HREC </w:t>
      </w:r>
      <w:r>
        <w:rPr>
          <w:spacing w:val="-2"/>
        </w:rPr>
        <w:t>application</w:t>
      </w:r>
      <w:r w:rsidR="001D0DBD">
        <w:rPr>
          <w:spacing w:val="-2"/>
        </w:rPr>
        <w:t>.</w:t>
      </w:r>
    </w:p>
    <w:p w14:paraId="191E7C08" w14:textId="77777777" w:rsidR="00310969" w:rsidRDefault="00310969">
      <w:pPr>
        <w:pStyle w:val="BodyText"/>
        <w:spacing w:before="10"/>
        <w:rPr>
          <w:rFonts w:ascii="Calibri"/>
          <w:sz w:val="19"/>
        </w:rPr>
      </w:pPr>
    </w:p>
    <w:p w14:paraId="4188FB00" w14:textId="5D142704" w:rsidR="00310969" w:rsidRDefault="00572F4F">
      <w:pPr>
        <w:pStyle w:val="ListParagraph"/>
        <w:numPr>
          <w:ilvl w:val="0"/>
          <w:numId w:val="1"/>
        </w:numPr>
        <w:tabs>
          <w:tab w:val="left" w:pos="838"/>
          <w:tab w:val="left" w:pos="840"/>
        </w:tabs>
        <w:ind w:right="1076" w:hanging="360"/>
        <w:jc w:val="both"/>
      </w:pPr>
      <w:r>
        <w:t>The</w:t>
      </w:r>
      <w:r>
        <w:rPr>
          <w:spacing w:val="-4"/>
        </w:rPr>
        <w:t xml:space="preserve"> </w:t>
      </w:r>
      <w:r>
        <w:t>specific</w:t>
      </w:r>
      <w:r>
        <w:rPr>
          <w:spacing w:val="-4"/>
        </w:rPr>
        <w:t xml:space="preserve"> </w:t>
      </w:r>
      <w:r>
        <w:t>terms</w:t>
      </w:r>
      <w:r>
        <w:rPr>
          <w:spacing w:val="-7"/>
        </w:rPr>
        <w:t xml:space="preserve"> </w:t>
      </w:r>
      <w:r>
        <w:t>of</w:t>
      </w:r>
      <w:r>
        <w:rPr>
          <w:spacing w:val="-5"/>
        </w:rPr>
        <w:t xml:space="preserve"> </w:t>
      </w:r>
      <w:r>
        <w:t>the</w:t>
      </w:r>
      <w:r>
        <w:rPr>
          <w:spacing w:val="-6"/>
        </w:rPr>
        <w:t xml:space="preserve"> </w:t>
      </w:r>
      <w:r>
        <w:t>MTA</w:t>
      </w:r>
      <w:r>
        <w:rPr>
          <w:spacing w:val="-5"/>
        </w:rPr>
        <w:t xml:space="preserve"> </w:t>
      </w:r>
      <w:r w:rsidR="001D0DBD">
        <w:t>T</w:t>
      </w:r>
      <w:r>
        <w:t>erm</w:t>
      </w:r>
      <w:r>
        <w:rPr>
          <w:spacing w:val="-5"/>
        </w:rPr>
        <w:t xml:space="preserve"> </w:t>
      </w:r>
      <w:r w:rsidR="001D0DBD">
        <w:t>S</w:t>
      </w:r>
      <w:r>
        <w:t>heet</w:t>
      </w:r>
      <w:r>
        <w:rPr>
          <w:spacing w:val="-4"/>
        </w:rPr>
        <w:t xml:space="preserve"> </w:t>
      </w:r>
      <w:r>
        <w:t>are</w:t>
      </w:r>
      <w:r>
        <w:rPr>
          <w:spacing w:val="-6"/>
        </w:rPr>
        <w:t xml:space="preserve"> </w:t>
      </w:r>
      <w:r>
        <w:t>reviewed</w:t>
      </w:r>
      <w:r>
        <w:rPr>
          <w:spacing w:val="-5"/>
        </w:rPr>
        <w:t xml:space="preserve"> </w:t>
      </w:r>
      <w:r>
        <w:t>by</w:t>
      </w:r>
      <w:r>
        <w:rPr>
          <w:spacing w:val="-3"/>
        </w:rPr>
        <w:t xml:space="preserve"> </w:t>
      </w:r>
      <w:r>
        <w:t>the</w:t>
      </w:r>
      <w:r>
        <w:rPr>
          <w:spacing w:val="-6"/>
        </w:rPr>
        <w:t xml:space="preserve"> </w:t>
      </w:r>
      <w:r>
        <w:t>HREC</w:t>
      </w:r>
      <w:r>
        <w:rPr>
          <w:spacing w:val="-7"/>
        </w:rPr>
        <w:t xml:space="preserve"> </w:t>
      </w:r>
      <w:r>
        <w:t>to</w:t>
      </w:r>
      <w:r>
        <w:rPr>
          <w:spacing w:val="-3"/>
        </w:rPr>
        <w:t xml:space="preserve"> </w:t>
      </w:r>
      <w:r>
        <w:t>ensure</w:t>
      </w:r>
      <w:r>
        <w:rPr>
          <w:spacing w:val="-4"/>
        </w:rPr>
        <w:t xml:space="preserve"> </w:t>
      </w:r>
      <w:r>
        <w:t xml:space="preserve">that they match the commitments in the protocol </w:t>
      </w:r>
      <w:r>
        <w:rPr>
          <w:u w:val="single"/>
        </w:rPr>
        <w:t>and</w:t>
      </w:r>
      <w:r>
        <w:t xml:space="preserve"> the promises made to participants in the informed consent document</w:t>
      </w:r>
      <w:r w:rsidR="001D0DBD">
        <w:t>.</w:t>
      </w:r>
    </w:p>
    <w:p w14:paraId="3F11FC67" w14:textId="77777777" w:rsidR="00310969" w:rsidRDefault="00310969">
      <w:pPr>
        <w:pStyle w:val="BodyText"/>
        <w:spacing w:before="6"/>
        <w:rPr>
          <w:rFonts w:ascii="Calibri"/>
          <w:sz w:val="19"/>
        </w:rPr>
      </w:pPr>
    </w:p>
    <w:p w14:paraId="300CC73F" w14:textId="35997C68" w:rsidR="00310969" w:rsidRDefault="00572F4F">
      <w:pPr>
        <w:pStyle w:val="ListParagraph"/>
        <w:numPr>
          <w:ilvl w:val="0"/>
          <w:numId w:val="1"/>
        </w:numPr>
        <w:tabs>
          <w:tab w:val="left" w:pos="837"/>
          <w:tab w:val="left" w:pos="840"/>
        </w:tabs>
        <w:ind w:right="1794"/>
        <w:jc w:val="both"/>
      </w:pPr>
      <w:r>
        <w:t>Once</w:t>
      </w:r>
      <w:r>
        <w:rPr>
          <w:spacing w:val="-6"/>
        </w:rPr>
        <w:t xml:space="preserve"> </w:t>
      </w:r>
      <w:r>
        <w:t>the</w:t>
      </w:r>
      <w:r>
        <w:rPr>
          <w:spacing w:val="-5"/>
        </w:rPr>
        <w:t xml:space="preserve"> </w:t>
      </w:r>
      <w:r>
        <w:t>project,</w:t>
      </w:r>
      <w:r>
        <w:rPr>
          <w:spacing w:val="-7"/>
        </w:rPr>
        <w:t xml:space="preserve"> </w:t>
      </w:r>
      <w:r>
        <w:t>including</w:t>
      </w:r>
      <w:r>
        <w:rPr>
          <w:spacing w:val="-5"/>
        </w:rPr>
        <w:t xml:space="preserve"> </w:t>
      </w:r>
      <w:r>
        <w:t>the</w:t>
      </w:r>
      <w:r>
        <w:rPr>
          <w:spacing w:val="-6"/>
        </w:rPr>
        <w:t xml:space="preserve"> </w:t>
      </w:r>
      <w:r>
        <w:t>MTA</w:t>
      </w:r>
      <w:r>
        <w:rPr>
          <w:spacing w:val="-7"/>
        </w:rPr>
        <w:t xml:space="preserve"> </w:t>
      </w:r>
      <w:r w:rsidR="001D0DBD">
        <w:rPr>
          <w:spacing w:val="-7"/>
        </w:rPr>
        <w:t>T</w:t>
      </w:r>
      <w:r>
        <w:t>erm</w:t>
      </w:r>
      <w:r>
        <w:rPr>
          <w:spacing w:val="-5"/>
        </w:rPr>
        <w:t xml:space="preserve"> </w:t>
      </w:r>
      <w:r>
        <w:t>sheet,</w:t>
      </w:r>
      <w:r>
        <w:rPr>
          <w:spacing w:val="-7"/>
        </w:rPr>
        <w:t xml:space="preserve"> </w:t>
      </w:r>
      <w:r>
        <w:t>is</w:t>
      </w:r>
      <w:r>
        <w:rPr>
          <w:spacing w:val="-5"/>
        </w:rPr>
        <w:t xml:space="preserve"> </w:t>
      </w:r>
      <w:r>
        <w:t>approved</w:t>
      </w:r>
      <w:r>
        <w:rPr>
          <w:spacing w:val="-7"/>
        </w:rPr>
        <w:t xml:space="preserve"> </w:t>
      </w:r>
      <w:r>
        <w:t>by</w:t>
      </w:r>
      <w:r>
        <w:rPr>
          <w:spacing w:val="-4"/>
        </w:rPr>
        <w:t xml:space="preserve"> </w:t>
      </w:r>
      <w:r>
        <w:t>HREC the research applicant sends the MTA term sheet to the University’s contracts office. The contracts office uses the MTA term sheet to prepare an MTA which is appropriate for transferring materials as part of and in accordance with the protocol</w:t>
      </w:r>
      <w:r w:rsidR="001D0DBD">
        <w:t>.</w:t>
      </w:r>
    </w:p>
    <w:p w14:paraId="75448ED4" w14:textId="77777777" w:rsidR="00310969" w:rsidRDefault="00310969">
      <w:pPr>
        <w:pStyle w:val="BodyText"/>
        <w:spacing w:before="10"/>
        <w:rPr>
          <w:rFonts w:ascii="Calibri"/>
          <w:sz w:val="19"/>
        </w:rPr>
      </w:pPr>
    </w:p>
    <w:p w14:paraId="65DB2C23" w14:textId="031FAA6D" w:rsidR="001D0DBD" w:rsidRDefault="00681522">
      <w:pPr>
        <w:pStyle w:val="ListParagraph"/>
        <w:numPr>
          <w:ilvl w:val="0"/>
          <w:numId w:val="1"/>
        </w:numPr>
        <w:tabs>
          <w:tab w:val="left" w:pos="837"/>
          <w:tab w:val="left" w:pos="839"/>
        </w:tabs>
        <w:ind w:left="839" w:right="1796" w:hanging="360"/>
        <w:jc w:val="both"/>
      </w:pPr>
      <w:r>
        <w:t xml:space="preserve">Please note that, in addition to the MTA, researchers are also responsible for obtaining the necessary permits from the NDoH for the export of human tissue samples. Kindly refer to the </w:t>
      </w:r>
      <w:hyperlink r:id="rId12" w:history="1">
        <w:r w:rsidRPr="0050019C">
          <w:rPr>
            <w:rStyle w:val="Hyperlink"/>
          </w:rPr>
          <w:t>NDoH FAQ</w:t>
        </w:r>
        <w:r w:rsidRPr="0050019C">
          <w:rPr>
            <w:rStyle w:val="Hyperlink"/>
          </w:rPr>
          <w:t xml:space="preserve"> </w:t>
        </w:r>
        <w:r w:rsidRPr="0050019C">
          <w:rPr>
            <w:rStyle w:val="Hyperlink"/>
          </w:rPr>
          <w:t>Documents</w:t>
        </w:r>
      </w:hyperlink>
      <w:r>
        <w:t xml:space="preserve"> for further information.</w:t>
      </w:r>
    </w:p>
    <w:p w14:paraId="24392B69" w14:textId="77777777" w:rsidR="001D0DBD" w:rsidRDefault="001D0DBD" w:rsidP="001D0DBD">
      <w:pPr>
        <w:pStyle w:val="ListParagraph"/>
      </w:pPr>
    </w:p>
    <w:p w14:paraId="12894104" w14:textId="45C42CDC" w:rsidR="0043670D" w:rsidRDefault="0043670D">
      <w:pPr>
        <w:pStyle w:val="ListParagraph"/>
        <w:numPr>
          <w:ilvl w:val="0"/>
          <w:numId w:val="1"/>
        </w:numPr>
        <w:tabs>
          <w:tab w:val="left" w:pos="837"/>
          <w:tab w:val="left" w:pos="839"/>
        </w:tabs>
        <w:ind w:left="839" w:right="1796" w:hanging="360"/>
        <w:jc w:val="both"/>
      </w:pPr>
      <w:r>
        <w:t xml:space="preserve">The researcher is responsible for ensuring that the signed final copy </w:t>
      </w:r>
      <w:r w:rsidR="007C25B4">
        <w:t xml:space="preserve">of the MTA and the relevant export permits are uploaded on Infonetica </w:t>
      </w:r>
      <w:r w:rsidR="00334ED6">
        <w:t xml:space="preserve">to ensure that the ethics submission record is complete for audit purposes. </w:t>
      </w:r>
    </w:p>
    <w:p w14:paraId="368FEB0E" w14:textId="77777777" w:rsidR="0043670D" w:rsidRDefault="0043670D" w:rsidP="0043670D">
      <w:pPr>
        <w:pStyle w:val="ListParagraph"/>
      </w:pPr>
    </w:p>
    <w:p w14:paraId="62285E23" w14:textId="391C6CDE" w:rsidR="00310969" w:rsidRDefault="00572F4F">
      <w:pPr>
        <w:pStyle w:val="ListParagraph"/>
        <w:numPr>
          <w:ilvl w:val="0"/>
          <w:numId w:val="1"/>
        </w:numPr>
        <w:tabs>
          <w:tab w:val="left" w:pos="837"/>
          <w:tab w:val="left" w:pos="839"/>
        </w:tabs>
        <w:ind w:left="839" w:right="1796" w:hanging="360"/>
        <w:jc w:val="both"/>
      </w:pPr>
      <w:r>
        <w:t xml:space="preserve">HREC </w:t>
      </w:r>
      <w:r w:rsidR="001D0DBD">
        <w:t>does</w:t>
      </w:r>
      <w:r>
        <w:t xml:space="preserve"> </w:t>
      </w:r>
      <w:r>
        <w:rPr>
          <w:u w:val="single"/>
        </w:rPr>
        <w:t>not</w:t>
      </w:r>
      <w:r>
        <w:t xml:space="preserve"> sign the MTA nor </w:t>
      </w:r>
      <w:r w:rsidR="001D0DBD">
        <w:t>are</w:t>
      </w:r>
      <w:r>
        <w:t xml:space="preserve"> they be responsible for the final review and approval of the full MTA contract.</w:t>
      </w:r>
      <w:r>
        <w:rPr>
          <w:spacing w:val="-3"/>
        </w:rPr>
        <w:t xml:space="preserve"> </w:t>
      </w:r>
      <w:r>
        <w:t>At</w:t>
      </w:r>
      <w:r>
        <w:rPr>
          <w:spacing w:val="-5"/>
        </w:rPr>
        <w:t xml:space="preserve"> </w:t>
      </w:r>
      <w:r>
        <w:t>Stellenbosch</w:t>
      </w:r>
      <w:r>
        <w:rPr>
          <w:spacing w:val="-4"/>
        </w:rPr>
        <w:t xml:space="preserve"> </w:t>
      </w:r>
      <w:r>
        <w:t>University</w:t>
      </w:r>
      <w:r>
        <w:rPr>
          <w:spacing w:val="-4"/>
        </w:rPr>
        <w:t xml:space="preserve"> </w:t>
      </w:r>
      <w:r>
        <w:t xml:space="preserve">the </w:t>
      </w:r>
      <w:r w:rsidR="001D0DBD">
        <w:t xml:space="preserve">authority for the </w:t>
      </w:r>
      <w:r>
        <w:t>approval of MTA</w:t>
      </w:r>
      <w:r w:rsidR="001D0DBD">
        <w:t>s</w:t>
      </w:r>
      <w:r>
        <w:t xml:space="preserve"> lies with</w:t>
      </w:r>
      <w:r w:rsidR="001D0DBD">
        <w:t xml:space="preserve"> the </w:t>
      </w:r>
      <w:r>
        <w:t>SU Research Contracts Office at the Division for Research Development.</w:t>
      </w:r>
    </w:p>
    <w:p w14:paraId="130D81F6" w14:textId="77777777" w:rsidR="00310969" w:rsidRDefault="00310969">
      <w:pPr>
        <w:jc w:val="both"/>
      </w:pPr>
    </w:p>
    <w:sectPr w:rsidR="00310969">
      <w:headerReference w:type="default" r:id="rId13"/>
      <w:footerReference w:type="default" r:id="rId14"/>
      <w:pgSz w:w="11910" w:h="16840"/>
      <w:pgMar w:top="2000" w:right="1320" w:bottom="1200" w:left="1320" w:header="78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C663" w14:textId="77777777" w:rsidR="00572F4F" w:rsidRDefault="00572F4F">
      <w:r>
        <w:separator/>
      </w:r>
    </w:p>
  </w:endnote>
  <w:endnote w:type="continuationSeparator" w:id="0">
    <w:p w14:paraId="1EF94CAE" w14:textId="77777777" w:rsidR="00572F4F" w:rsidRDefault="0057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1E25" w14:textId="77777777" w:rsidR="00681522" w:rsidRDefault="00681522" w:rsidP="00681522">
    <w:pPr>
      <w:pStyle w:val="Footer"/>
    </w:pPr>
  </w:p>
  <w:p w14:paraId="6CB02797" w14:textId="31E992FF" w:rsidR="00681522" w:rsidRPr="00681522" w:rsidRDefault="00681522" w:rsidP="00681522">
    <w:pPr>
      <w:pStyle w:val="Footer"/>
    </w:pPr>
    <w:r w:rsidRPr="00681522">
      <w:t>MTA/DTA Guidance for SU researchers, Version 2, 23 August 2023</w:t>
    </w:r>
  </w:p>
  <w:p w14:paraId="4E277D92" w14:textId="77777777" w:rsidR="00310969" w:rsidRDefault="00572F4F">
    <w:pPr>
      <w:pStyle w:val="BodyText"/>
      <w:spacing w:line="14" w:lineRule="auto"/>
    </w:pPr>
    <w:r>
      <w:rPr>
        <w:noProof/>
      </w:rPr>
      <mc:AlternateContent>
        <mc:Choice Requires="wps">
          <w:drawing>
            <wp:anchor distT="0" distB="0" distL="0" distR="0" simplePos="0" relativeHeight="251659264" behindDoc="1" locked="0" layoutInCell="1" allowOverlap="1" wp14:anchorId="288400F9" wp14:editId="6B26105E">
              <wp:simplePos x="0" y="0"/>
              <wp:positionH relativeFrom="page">
                <wp:posOffset>6538003</wp:posOffset>
              </wp:positionH>
              <wp:positionV relativeFrom="page">
                <wp:posOffset>9916214</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4EE408" w14:textId="77777777" w:rsidR="00310969" w:rsidRDefault="00572F4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288400F9" id="_x0000_t202" coordsize="21600,21600" o:spt="202" path="m,l,21600r21600,l21600,xe">
              <v:stroke joinstyle="miter"/>
              <v:path gradientshapeok="t" o:connecttype="rect"/>
            </v:shapetype>
            <v:shape id="Textbox 2" o:spid="_x0000_s1026" type="#_x0000_t202" style="position:absolute;margin-left:514.8pt;margin-top:780.8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" filled="f" stroked="f">
              <v:textbox inset="0,0,0,0">
                <w:txbxContent>
                  <w:p w14:paraId="2E4EE408" w14:textId="77777777" w:rsidR="00310969" w:rsidRDefault="00572F4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2B23" w14:textId="77777777" w:rsidR="00572F4F" w:rsidRDefault="00572F4F">
      <w:r>
        <w:separator/>
      </w:r>
    </w:p>
  </w:footnote>
  <w:footnote w:type="continuationSeparator" w:id="0">
    <w:p w14:paraId="09F59866" w14:textId="77777777" w:rsidR="00572F4F" w:rsidRDefault="0057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93A8" w14:textId="77777777" w:rsidR="00310969" w:rsidRDefault="00572F4F">
    <w:pPr>
      <w:pStyle w:val="BodyText"/>
      <w:spacing w:line="14" w:lineRule="auto"/>
    </w:pPr>
    <w:r>
      <w:rPr>
        <w:noProof/>
      </w:rPr>
      <w:drawing>
        <wp:anchor distT="0" distB="0" distL="0" distR="0" simplePos="0" relativeHeight="251656192" behindDoc="1" locked="0" layoutInCell="1" allowOverlap="1" wp14:anchorId="42D4D323" wp14:editId="79B4CF5C">
          <wp:simplePos x="0" y="0"/>
          <wp:positionH relativeFrom="page">
            <wp:posOffset>2345350</wp:posOffset>
          </wp:positionH>
          <wp:positionV relativeFrom="page">
            <wp:posOffset>495351</wp:posOffset>
          </wp:positionV>
          <wp:extent cx="2884459" cy="6234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84459" cy="6234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C2BCC"/>
    <w:multiLevelType w:val="hybridMultilevel"/>
    <w:tmpl w:val="EE302D38"/>
    <w:lvl w:ilvl="0" w:tplc="12964328">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E03CEBA4">
      <w:numFmt w:val="bullet"/>
      <w:lvlText w:val="•"/>
      <w:lvlJc w:val="left"/>
      <w:pPr>
        <w:ind w:left="1682" w:hanging="361"/>
      </w:pPr>
      <w:rPr>
        <w:rFonts w:hint="default"/>
        <w:lang w:val="en-US" w:eastAsia="en-US" w:bidi="ar-SA"/>
      </w:rPr>
    </w:lvl>
    <w:lvl w:ilvl="2" w:tplc="7BF858E6">
      <w:numFmt w:val="bullet"/>
      <w:lvlText w:val="•"/>
      <w:lvlJc w:val="left"/>
      <w:pPr>
        <w:ind w:left="2525" w:hanging="361"/>
      </w:pPr>
      <w:rPr>
        <w:rFonts w:hint="default"/>
        <w:lang w:val="en-US" w:eastAsia="en-US" w:bidi="ar-SA"/>
      </w:rPr>
    </w:lvl>
    <w:lvl w:ilvl="3" w:tplc="FB80EB32">
      <w:numFmt w:val="bullet"/>
      <w:lvlText w:val="•"/>
      <w:lvlJc w:val="left"/>
      <w:pPr>
        <w:ind w:left="3367" w:hanging="361"/>
      </w:pPr>
      <w:rPr>
        <w:rFonts w:hint="default"/>
        <w:lang w:val="en-US" w:eastAsia="en-US" w:bidi="ar-SA"/>
      </w:rPr>
    </w:lvl>
    <w:lvl w:ilvl="4" w:tplc="88B2B33E">
      <w:numFmt w:val="bullet"/>
      <w:lvlText w:val="•"/>
      <w:lvlJc w:val="left"/>
      <w:pPr>
        <w:ind w:left="4210" w:hanging="361"/>
      </w:pPr>
      <w:rPr>
        <w:rFonts w:hint="default"/>
        <w:lang w:val="en-US" w:eastAsia="en-US" w:bidi="ar-SA"/>
      </w:rPr>
    </w:lvl>
    <w:lvl w:ilvl="5" w:tplc="00A04F56">
      <w:numFmt w:val="bullet"/>
      <w:lvlText w:val="•"/>
      <w:lvlJc w:val="left"/>
      <w:pPr>
        <w:ind w:left="5053" w:hanging="361"/>
      </w:pPr>
      <w:rPr>
        <w:rFonts w:hint="default"/>
        <w:lang w:val="en-US" w:eastAsia="en-US" w:bidi="ar-SA"/>
      </w:rPr>
    </w:lvl>
    <w:lvl w:ilvl="6" w:tplc="F842B560">
      <w:numFmt w:val="bullet"/>
      <w:lvlText w:val="•"/>
      <w:lvlJc w:val="left"/>
      <w:pPr>
        <w:ind w:left="5895" w:hanging="361"/>
      </w:pPr>
      <w:rPr>
        <w:rFonts w:hint="default"/>
        <w:lang w:val="en-US" w:eastAsia="en-US" w:bidi="ar-SA"/>
      </w:rPr>
    </w:lvl>
    <w:lvl w:ilvl="7" w:tplc="CEA2D26A">
      <w:numFmt w:val="bullet"/>
      <w:lvlText w:val="•"/>
      <w:lvlJc w:val="left"/>
      <w:pPr>
        <w:ind w:left="6738" w:hanging="361"/>
      </w:pPr>
      <w:rPr>
        <w:rFonts w:hint="default"/>
        <w:lang w:val="en-US" w:eastAsia="en-US" w:bidi="ar-SA"/>
      </w:rPr>
    </w:lvl>
    <w:lvl w:ilvl="8" w:tplc="D0921296">
      <w:numFmt w:val="bullet"/>
      <w:lvlText w:val="•"/>
      <w:lvlJc w:val="left"/>
      <w:pPr>
        <w:ind w:left="7581" w:hanging="361"/>
      </w:pPr>
      <w:rPr>
        <w:rFonts w:hint="default"/>
        <w:lang w:val="en-US" w:eastAsia="en-US" w:bidi="ar-SA"/>
      </w:rPr>
    </w:lvl>
  </w:abstractNum>
  <w:num w:numId="1" w16cid:durableId="24485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10969"/>
    <w:rsid w:val="001D0DBD"/>
    <w:rsid w:val="00310969"/>
    <w:rsid w:val="00334ED6"/>
    <w:rsid w:val="0043670D"/>
    <w:rsid w:val="0050019C"/>
    <w:rsid w:val="00572F4F"/>
    <w:rsid w:val="00681522"/>
    <w:rsid w:val="007C2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7FBC"/>
  <w15:docId w15:val="{C684B870-D288-4E6F-99AB-570EBE6A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73"/>
      <w:ind w:left="426" w:right="425"/>
      <w:jc w:val="center"/>
    </w:pPr>
    <w:rPr>
      <w:rFonts w:ascii="Calibri" w:eastAsia="Calibri" w:hAnsi="Calibri" w:cs="Calibri"/>
      <w:b/>
      <w:bCs/>
      <w:sz w:val="28"/>
      <w:szCs w:val="28"/>
    </w:rPr>
  </w:style>
  <w:style w:type="paragraph" w:styleId="ListParagraph">
    <w:name w:val="List Paragraph"/>
    <w:basedOn w:val="Normal"/>
    <w:uiPriority w:val="1"/>
    <w:qFormat/>
    <w:pPr>
      <w:ind w:left="840" w:right="1078" w:hanging="360"/>
      <w:jc w:val="both"/>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1522"/>
    <w:pPr>
      <w:tabs>
        <w:tab w:val="center" w:pos="4513"/>
        <w:tab w:val="right" w:pos="9026"/>
      </w:tabs>
    </w:pPr>
  </w:style>
  <w:style w:type="character" w:customStyle="1" w:styleId="HeaderChar">
    <w:name w:val="Header Char"/>
    <w:basedOn w:val="DefaultParagraphFont"/>
    <w:link w:val="Header"/>
    <w:uiPriority w:val="99"/>
    <w:rsid w:val="00681522"/>
    <w:rPr>
      <w:rFonts w:ascii="Segoe UI" w:eastAsia="Segoe UI" w:hAnsi="Segoe UI" w:cs="Segoe UI"/>
    </w:rPr>
  </w:style>
  <w:style w:type="paragraph" w:styleId="Footer">
    <w:name w:val="footer"/>
    <w:basedOn w:val="Normal"/>
    <w:link w:val="FooterChar"/>
    <w:uiPriority w:val="99"/>
    <w:unhideWhenUsed/>
    <w:rsid w:val="00681522"/>
    <w:pPr>
      <w:tabs>
        <w:tab w:val="center" w:pos="4513"/>
        <w:tab w:val="right" w:pos="9026"/>
      </w:tabs>
    </w:pPr>
  </w:style>
  <w:style w:type="character" w:customStyle="1" w:styleId="FooterChar">
    <w:name w:val="Footer Char"/>
    <w:basedOn w:val="DefaultParagraphFont"/>
    <w:link w:val="Footer"/>
    <w:uiPriority w:val="99"/>
    <w:rsid w:val="00681522"/>
    <w:rPr>
      <w:rFonts w:ascii="Segoe UI" w:eastAsia="Segoe UI" w:hAnsi="Segoe UI" w:cs="Segoe UI"/>
    </w:rPr>
  </w:style>
  <w:style w:type="character" w:styleId="CommentReference">
    <w:name w:val="annotation reference"/>
    <w:basedOn w:val="DefaultParagraphFont"/>
    <w:uiPriority w:val="99"/>
    <w:semiHidden/>
    <w:unhideWhenUsed/>
    <w:rsid w:val="00572F4F"/>
    <w:rPr>
      <w:sz w:val="16"/>
      <w:szCs w:val="16"/>
    </w:rPr>
  </w:style>
  <w:style w:type="paragraph" w:styleId="CommentText">
    <w:name w:val="annotation text"/>
    <w:basedOn w:val="Normal"/>
    <w:link w:val="CommentTextChar"/>
    <w:uiPriority w:val="99"/>
    <w:unhideWhenUsed/>
    <w:rsid w:val="00572F4F"/>
    <w:rPr>
      <w:sz w:val="20"/>
      <w:szCs w:val="20"/>
    </w:rPr>
  </w:style>
  <w:style w:type="character" w:customStyle="1" w:styleId="CommentTextChar">
    <w:name w:val="Comment Text Char"/>
    <w:basedOn w:val="DefaultParagraphFont"/>
    <w:link w:val="CommentText"/>
    <w:uiPriority w:val="99"/>
    <w:rsid w:val="00572F4F"/>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72F4F"/>
    <w:rPr>
      <w:b/>
      <w:bCs/>
    </w:rPr>
  </w:style>
  <w:style w:type="character" w:customStyle="1" w:styleId="CommentSubjectChar">
    <w:name w:val="Comment Subject Char"/>
    <w:basedOn w:val="CommentTextChar"/>
    <w:link w:val="CommentSubject"/>
    <w:uiPriority w:val="99"/>
    <w:semiHidden/>
    <w:rsid w:val="00572F4F"/>
    <w:rPr>
      <w:rFonts w:ascii="Segoe UI" w:eastAsia="Segoe UI" w:hAnsi="Segoe UI" w:cs="Segoe UI"/>
      <w:b/>
      <w:bCs/>
      <w:sz w:val="20"/>
      <w:szCs w:val="20"/>
    </w:rPr>
  </w:style>
  <w:style w:type="character" w:styleId="Hyperlink">
    <w:name w:val="Hyperlink"/>
    <w:basedOn w:val="DefaultParagraphFont"/>
    <w:uiPriority w:val="99"/>
    <w:unhideWhenUsed/>
    <w:rsid w:val="0050019C"/>
    <w:rPr>
      <w:color w:val="0000FF" w:themeColor="hyperlink"/>
      <w:u w:val="single"/>
    </w:rPr>
  </w:style>
  <w:style w:type="character" w:styleId="UnresolvedMention">
    <w:name w:val="Unresolved Mention"/>
    <w:basedOn w:val="DefaultParagraphFont"/>
    <w:uiPriority w:val="99"/>
    <w:semiHidden/>
    <w:unhideWhenUsed/>
    <w:rsid w:val="0050019C"/>
    <w:rPr>
      <w:color w:val="605E5C"/>
      <w:shd w:val="clear" w:color="auto" w:fill="E1DFDD"/>
    </w:rPr>
  </w:style>
  <w:style w:type="character" w:styleId="FollowedHyperlink">
    <w:name w:val="FollowedHyperlink"/>
    <w:basedOn w:val="DefaultParagraphFont"/>
    <w:uiPriority w:val="99"/>
    <w:semiHidden/>
    <w:unhideWhenUsed/>
    <w:rsid w:val="005001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ula.uct.ac.za/access/content/group/25f04c1d-1bf4-497a-bdb5-e12357b066ef/Test/FAQs%20%20PERMIT%20PROGRAMME%20MARCH%20201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n.ac.za/english/faculty/healthsciences/rdsd/Pages/Ethics/Forms-Instruction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un.ac.za/english/faculty/healthsciences/rdsd/Pages/Ethics/Forms-Instruction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B23A89-84A5-46BD-850D-7BD51E552B6D}"/>
</file>

<file path=customXml/itemProps2.xml><?xml version="1.0" encoding="utf-8"?>
<ds:datastoreItem xmlns:ds="http://schemas.openxmlformats.org/officeDocument/2006/customXml" ds:itemID="{00A47764-F9A1-4A42-86A6-042F24407FE1}">
  <ds:schemaRefs>
    <ds:schemaRef ds:uri="http://schemas.microsoft.com/sharepoint/v3/contenttype/forms"/>
  </ds:schemaRefs>
</ds:datastoreItem>
</file>

<file path=customXml/itemProps3.xml><?xml version="1.0" encoding="utf-8"?>
<ds:datastoreItem xmlns:ds="http://schemas.openxmlformats.org/officeDocument/2006/customXml" ds:itemID="{59D6F777-3927-4640-9494-951BEC5979FE}">
  <ds:schemaRefs>
    <ds:schemaRef ds:uri="http://purl.org/dc/dcmitype/"/>
    <ds:schemaRef ds:uri="b35c66fc-1b12-44b8-b9f3-2b94d0ec3449"/>
    <ds:schemaRef ds:uri="http://schemas.openxmlformats.org/package/2006/metadata/core-properties"/>
    <ds:schemaRef ds:uri="c7fb5d03-b95b-44dc-8753-15cbc19066dd"/>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354</Words>
  <Characters>2018</Characters>
  <Application>Microsoft Office Word</Application>
  <DocSecurity>0</DocSecurity>
  <Lines>16</Lines>
  <Paragraphs>4</Paragraphs>
  <ScaleCrop>false</ScaleCrop>
  <Company>Stellenbosch University</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Barsdorf, N, Dr &lt;nbarsdorf@sun.ac.za&gt;</dc:creator>
  <dc:description/>
  <cp:lastModifiedBy>Fortuin, A, Mev [afortuin@sun.ac.za]</cp:lastModifiedBy>
  <cp:revision>7</cp:revision>
  <dcterms:created xsi:type="dcterms:W3CDTF">2023-08-23T09:59:00Z</dcterms:created>
  <dcterms:modified xsi:type="dcterms:W3CDTF">2023-09-01T13:43:00Z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Acrobat PDFMaker 19 for Word</vt:lpwstr>
  </property>
  <property fmtid="{D5CDD505-2E9C-101B-9397-08002B2CF9AE}" pid="4" name="LastSaved">
    <vt:filetime>2023-08-23T00:00:00Z</vt:filetime>
  </property>
  <property fmtid="{D5CDD505-2E9C-101B-9397-08002B2CF9AE}" pid="5" name="Producer">
    <vt:lpwstr>Adobe PDF Library 19.12.66</vt:lpwstr>
  </property>
  <property fmtid="{D5CDD505-2E9C-101B-9397-08002B2CF9AE}" pid="6" name="SourceModified">
    <vt:lpwstr>D:20190612075707</vt:lpwstr>
  </property>
  <property fmtid="{D5CDD505-2E9C-101B-9397-08002B2CF9AE}" pid="7" name="ContentTypeId">
    <vt:lpwstr>0x0101007B00E335D07E6A4D9A42A18B0B480BDC</vt:lpwstr>
  </property>
</Properties>
</file>