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E1" w:rsidRDefault="00D07E2E" w:rsidP="00F52FC7">
      <w:pPr>
        <w:spacing w:line="360" w:lineRule="auto"/>
        <w:jc w:val="center"/>
        <w:rPr>
          <w:b/>
          <w:sz w:val="36"/>
          <w:szCs w:val="36"/>
        </w:rPr>
      </w:pPr>
      <w:r>
        <w:rPr>
          <w:rFonts w:cs="Arial"/>
          <w:noProof/>
          <w:lang w:eastAsia="en-ZA"/>
        </w:rPr>
        <w:drawing>
          <wp:inline distT="0" distB="0" distL="0" distR="0">
            <wp:extent cx="2990850" cy="638175"/>
            <wp:effectExtent l="19050" t="0" r="0" b="0"/>
            <wp:docPr id="1" name="Picture 1" descr="Nuwe logo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we logo - horizontal"/>
                    <pic:cNvPicPr>
                      <a:picLocks noChangeAspect="1" noChangeArrowheads="1"/>
                    </pic:cNvPicPr>
                  </pic:nvPicPr>
                  <pic:blipFill>
                    <a:blip r:embed="rId8" cstate="print"/>
                    <a:srcRect/>
                    <a:stretch>
                      <a:fillRect/>
                    </a:stretch>
                  </pic:blipFill>
                  <pic:spPr bwMode="auto">
                    <a:xfrm>
                      <a:off x="0" y="0"/>
                      <a:ext cx="2990850" cy="638175"/>
                    </a:xfrm>
                    <a:prstGeom prst="rect">
                      <a:avLst/>
                    </a:prstGeom>
                    <a:noFill/>
                    <a:ln w="9525">
                      <a:noFill/>
                      <a:miter lim="800000"/>
                      <a:headEnd/>
                      <a:tailEnd/>
                    </a:ln>
                  </pic:spPr>
                </pic:pic>
              </a:graphicData>
            </a:graphic>
          </wp:inline>
        </w:drawing>
      </w:r>
    </w:p>
    <w:p w:rsidR="00D226E1" w:rsidRDefault="00D226E1" w:rsidP="00F52FC7">
      <w:pPr>
        <w:spacing w:line="360" w:lineRule="auto"/>
        <w:jc w:val="center"/>
        <w:rPr>
          <w:b/>
          <w:sz w:val="36"/>
          <w:szCs w:val="36"/>
        </w:rPr>
      </w:pPr>
    </w:p>
    <w:p w:rsidR="00F52FC7" w:rsidRPr="00405057" w:rsidRDefault="00F52FC7" w:rsidP="00F52FC7">
      <w:pPr>
        <w:spacing w:line="360" w:lineRule="auto"/>
        <w:jc w:val="center"/>
        <w:rPr>
          <w:b/>
          <w:sz w:val="36"/>
          <w:szCs w:val="36"/>
        </w:rPr>
      </w:pPr>
      <w:smartTag w:uri="urn:schemas-microsoft-com:office:smarttags" w:element="place">
        <w:smartTag w:uri="urn:schemas-microsoft-com:office:smarttags" w:element="PlaceName">
          <w:r w:rsidRPr="00405057">
            <w:rPr>
              <w:b/>
              <w:sz w:val="36"/>
              <w:szCs w:val="36"/>
            </w:rPr>
            <w:t>STELLENBOSCH</w:t>
          </w:r>
        </w:smartTag>
        <w:r>
          <w:rPr>
            <w:b/>
            <w:sz w:val="36"/>
            <w:szCs w:val="36"/>
          </w:rPr>
          <w:t xml:space="preserve"> </w:t>
        </w:r>
        <w:smartTag w:uri="urn:schemas-microsoft-com:office:smarttags" w:element="PlaceType">
          <w:r>
            <w:rPr>
              <w:b/>
              <w:sz w:val="36"/>
              <w:szCs w:val="36"/>
            </w:rPr>
            <w:t>UNIVERSITY</w:t>
          </w:r>
        </w:smartTag>
      </w:smartTag>
      <w:r>
        <w:rPr>
          <w:b/>
          <w:sz w:val="36"/>
          <w:szCs w:val="36"/>
        </w:rPr>
        <w:t xml:space="preserve"> (SU)</w:t>
      </w:r>
    </w:p>
    <w:p w:rsidR="00006DDA" w:rsidRDefault="00F52FC7" w:rsidP="00006DDA">
      <w:pPr>
        <w:pStyle w:val="Subtitle"/>
        <w:spacing w:line="360" w:lineRule="auto"/>
        <w:rPr>
          <w:b/>
          <w:sz w:val="28"/>
          <w:szCs w:val="28"/>
        </w:rPr>
      </w:pPr>
      <w:r w:rsidRPr="00405057">
        <w:rPr>
          <w:b/>
          <w:sz w:val="28"/>
          <w:szCs w:val="28"/>
        </w:rPr>
        <w:t xml:space="preserve">POLICY FOR COSTING AND PRICING OF RESEARCH AND </w:t>
      </w:r>
      <w:r w:rsidR="00006DDA" w:rsidRPr="00405057">
        <w:rPr>
          <w:b/>
          <w:sz w:val="28"/>
          <w:szCs w:val="28"/>
        </w:rPr>
        <w:t>RESEARCH RELATED CONTRACTS</w:t>
      </w:r>
    </w:p>
    <w:tbl>
      <w:tblPr>
        <w:tblStyle w:val="TableGrid1"/>
        <w:tblW w:w="0" w:type="auto"/>
        <w:tblLook w:val="04A0" w:firstRow="1" w:lastRow="0" w:firstColumn="1" w:lastColumn="0" w:noHBand="0" w:noVBand="1"/>
      </w:tblPr>
      <w:tblGrid>
        <w:gridCol w:w="4652"/>
        <w:gridCol w:w="4636"/>
      </w:tblGrid>
      <w:tr w:rsidR="00B00AD4" w:rsidRPr="00B00AD4" w:rsidTr="00006DDA">
        <w:tc>
          <w:tcPr>
            <w:tcW w:w="9288" w:type="dxa"/>
            <w:gridSpan w:val="2"/>
            <w:tcBorders>
              <w:top w:val="double" w:sz="4" w:space="0" w:color="auto"/>
              <w:left w:val="double" w:sz="4" w:space="0" w:color="auto"/>
              <w:bottom w:val="double" w:sz="4" w:space="0" w:color="auto"/>
              <w:right w:val="double" w:sz="4" w:space="0" w:color="auto"/>
            </w:tcBorders>
          </w:tcPr>
          <w:p w:rsidR="00B00AD4" w:rsidRPr="00B00AD4" w:rsidRDefault="00B00AD4" w:rsidP="00B00AD4">
            <w:pPr>
              <w:spacing w:line="360" w:lineRule="auto"/>
              <w:rPr>
                <w:rFonts w:cs="Arial"/>
                <w:b/>
                <w:sz w:val="24"/>
                <w:szCs w:val="24"/>
                <w:lang w:val="en-GB" w:eastAsia="af-ZA"/>
              </w:rPr>
            </w:pPr>
          </w:p>
          <w:p w:rsidR="00B00AD4" w:rsidRPr="00B00AD4" w:rsidRDefault="00B00AD4" w:rsidP="00B00AD4">
            <w:pPr>
              <w:spacing w:line="360" w:lineRule="auto"/>
              <w:rPr>
                <w:rFonts w:cs="Arial"/>
                <w:b/>
                <w:sz w:val="24"/>
                <w:szCs w:val="24"/>
                <w:lang w:val="en-GB" w:eastAsia="af-ZA"/>
              </w:rPr>
            </w:pPr>
            <w:r w:rsidRPr="00B00AD4">
              <w:rPr>
                <w:rFonts w:cs="Arial"/>
                <w:b/>
                <w:sz w:val="24"/>
                <w:szCs w:val="24"/>
                <w:lang w:val="en-GB" w:eastAsia="af-ZA"/>
              </w:rPr>
              <w:t>Statement of policy</w:t>
            </w:r>
          </w:p>
          <w:p w:rsidR="00B00AD4" w:rsidRPr="00B00AD4" w:rsidRDefault="00B00AD4" w:rsidP="00B00AD4">
            <w:pPr>
              <w:spacing w:line="360" w:lineRule="auto"/>
              <w:rPr>
                <w:rFonts w:cs="Arial"/>
                <w:b/>
                <w:sz w:val="24"/>
                <w:szCs w:val="24"/>
                <w:lang w:val="en-GB" w:eastAsia="af-ZA"/>
              </w:rPr>
            </w:pPr>
          </w:p>
        </w:tc>
      </w:tr>
      <w:tr w:rsidR="00B00AD4" w:rsidRPr="00B00AD4" w:rsidTr="00006DDA">
        <w:tc>
          <w:tcPr>
            <w:tcW w:w="4652" w:type="dxa"/>
            <w:tcBorders>
              <w:top w:val="double" w:sz="4" w:space="0" w:color="auto"/>
            </w:tcBorders>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Purpose</w:t>
            </w:r>
          </w:p>
        </w:tc>
        <w:tc>
          <w:tcPr>
            <w:tcW w:w="4636" w:type="dxa"/>
            <w:tcBorders>
              <w:top w:val="double" w:sz="4" w:space="0" w:color="auto"/>
            </w:tcBorders>
          </w:tcPr>
          <w:p w:rsidR="00B00AD4" w:rsidRPr="00B00AD4" w:rsidRDefault="00006DDA" w:rsidP="00006DDA">
            <w:pPr>
              <w:spacing w:line="360" w:lineRule="auto"/>
              <w:rPr>
                <w:rFonts w:cs="Arial"/>
                <w:sz w:val="24"/>
                <w:szCs w:val="24"/>
                <w:lang w:val="en-GB" w:eastAsia="af-ZA"/>
              </w:rPr>
            </w:pPr>
            <w:r>
              <w:rPr>
                <w:sz w:val="24"/>
              </w:rPr>
              <w:t>S</w:t>
            </w:r>
            <w:r w:rsidRPr="00405057">
              <w:rPr>
                <w:sz w:val="24"/>
              </w:rPr>
              <w:t xml:space="preserve">tandard </w:t>
            </w:r>
            <w:proofErr w:type="spellStart"/>
            <w:r w:rsidRPr="00405057">
              <w:rPr>
                <w:sz w:val="24"/>
              </w:rPr>
              <w:t>full</w:t>
            </w:r>
            <w:proofErr w:type="spellEnd"/>
            <w:r w:rsidRPr="00405057">
              <w:rPr>
                <w:sz w:val="24"/>
              </w:rPr>
              <w:t xml:space="preserve"> </w:t>
            </w:r>
            <w:proofErr w:type="spellStart"/>
            <w:r w:rsidRPr="00405057">
              <w:rPr>
                <w:sz w:val="24"/>
              </w:rPr>
              <w:t>cost</w:t>
            </w:r>
            <w:proofErr w:type="spellEnd"/>
            <w:r w:rsidRPr="00405057">
              <w:rPr>
                <w:sz w:val="24"/>
              </w:rPr>
              <w:t xml:space="preserve"> </w:t>
            </w:r>
            <w:proofErr w:type="spellStart"/>
            <w:r w:rsidRPr="00405057">
              <w:rPr>
                <w:sz w:val="24"/>
              </w:rPr>
              <w:t>calculation</w:t>
            </w:r>
            <w:proofErr w:type="spellEnd"/>
            <w:r w:rsidRPr="00405057">
              <w:rPr>
                <w:sz w:val="24"/>
              </w:rPr>
              <w:t xml:space="preserve"> basis </w:t>
            </w:r>
            <w:proofErr w:type="spellStart"/>
            <w:r w:rsidRPr="00405057">
              <w:rPr>
                <w:sz w:val="24"/>
              </w:rPr>
              <w:t>for</w:t>
            </w:r>
            <w:proofErr w:type="spellEnd"/>
            <w:r w:rsidRPr="00405057">
              <w:rPr>
                <w:sz w:val="24"/>
              </w:rPr>
              <w:t xml:space="preserve"> </w:t>
            </w:r>
            <w:proofErr w:type="spellStart"/>
            <w:r w:rsidRPr="00405057">
              <w:rPr>
                <w:sz w:val="24"/>
              </w:rPr>
              <w:t>the</w:t>
            </w:r>
            <w:proofErr w:type="spellEnd"/>
            <w:r w:rsidRPr="00405057">
              <w:rPr>
                <w:sz w:val="24"/>
              </w:rPr>
              <w:t xml:space="preserve"> </w:t>
            </w:r>
            <w:proofErr w:type="spellStart"/>
            <w:r w:rsidRPr="00405057">
              <w:rPr>
                <w:sz w:val="24"/>
              </w:rPr>
              <w:t>calculation</w:t>
            </w:r>
            <w:proofErr w:type="spellEnd"/>
            <w:r w:rsidRPr="00405057">
              <w:rPr>
                <w:sz w:val="24"/>
              </w:rPr>
              <w:t xml:space="preserve"> of </w:t>
            </w:r>
            <w:proofErr w:type="spellStart"/>
            <w:r>
              <w:rPr>
                <w:sz w:val="24"/>
              </w:rPr>
              <w:t>the</w:t>
            </w:r>
            <w:proofErr w:type="spellEnd"/>
            <w:r>
              <w:rPr>
                <w:sz w:val="24"/>
              </w:rPr>
              <w:t xml:space="preserve"> </w:t>
            </w:r>
            <w:proofErr w:type="spellStart"/>
            <w:r w:rsidRPr="00405057">
              <w:rPr>
                <w:sz w:val="24"/>
              </w:rPr>
              <w:t>costs</w:t>
            </w:r>
            <w:proofErr w:type="spellEnd"/>
            <w:r w:rsidRPr="00405057">
              <w:rPr>
                <w:sz w:val="24"/>
              </w:rPr>
              <w:t xml:space="preserve"> </w:t>
            </w:r>
            <w:proofErr w:type="spellStart"/>
            <w:r w:rsidRPr="00405057">
              <w:rPr>
                <w:sz w:val="24"/>
              </w:rPr>
              <w:t>related</w:t>
            </w:r>
            <w:proofErr w:type="spellEnd"/>
            <w:r w:rsidRPr="00405057">
              <w:rPr>
                <w:sz w:val="24"/>
              </w:rPr>
              <w:t xml:space="preserve"> </w:t>
            </w:r>
            <w:proofErr w:type="spellStart"/>
            <w:r w:rsidRPr="00405057">
              <w:rPr>
                <w:sz w:val="24"/>
              </w:rPr>
              <w:t>to</w:t>
            </w:r>
            <w:proofErr w:type="spellEnd"/>
            <w:r w:rsidRPr="00405057">
              <w:rPr>
                <w:sz w:val="24"/>
              </w:rPr>
              <w:t xml:space="preserve"> </w:t>
            </w:r>
            <w:proofErr w:type="spellStart"/>
            <w:r w:rsidRPr="00405057">
              <w:rPr>
                <w:sz w:val="24"/>
              </w:rPr>
              <w:t>research</w:t>
            </w:r>
            <w:proofErr w:type="spellEnd"/>
            <w:r w:rsidRPr="00405057">
              <w:rPr>
                <w:sz w:val="24"/>
              </w:rPr>
              <w:t xml:space="preserve"> </w:t>
            </w:r>
            <w:proofErr w:type="spellStart"/>
            <w:r w:rsidRPr="00405057">
              <w:rPr>
                <w:sz w:val="24"/>
              </w:rPr>
              <w:t>and</w:t>
            </w:r>
            <w:proofErr w:type="spellEnd"/>
            <w:r w:rsidRPr="00405057">
              <w:rPr>
                <w:sz w:val="24"/>
              </w:rPr>
              <w:t xml:space="preserve"> </w:t>
            </w:r>
            <w:proofErr w:type="spellStart"/>
            <w:r w:rsidRPr="00405057">
              <w:rPr>
                <w:sz w:val="24"/>
              </w:rPr>
              <w:t>research</w:t>
            </w:r>
            <w:proofErr w:type="spellEnd"/>
            <w:r w:rsidRPr="00405057">
              <w:rPr>
                <w:sz w:val="24"/>
              </w:rPr>
              <w:t xml:space="preserve"> </w:t>
            </w:r>
            <w:proofErr w:type="spellStart"/>
            <w:r w:rsidRPr="00405057">
              <w:rPr>
                <w:sz w:val="24"/>
              </w:rPr>
              <w:t>related</w:t>
            </w:r>
            <w:proofErr w:type="spellEnd"/>
            <w:r w:rsidRPr="00405057">
              <w:rPr>
                <w:sz w:val="24"/>
              </w:rPr>
              <w:t xml:space="preserve"> </w:t>
            </w:r>
            <w:proofErr w:type="spellStart"/>
            <w:r w:rsidRPr="00405057">
              <w:rPr>
                <w:sz w:val="24"/>
              </w:rPr>
              <w:t>contracts</w:t>
            </w:r>
            <w:proofErr w:type="spellEnd"/>
            <w:r w:rsidRPr="00405057">
              <w:rPr>
                <w:sz w:val="24"/>
              </w:rPr>
              <w:t xml:space="preserve"> </w:t>
            </w:r>
            <w:proofErr w:type="spellStart"/>
            <w:r w:rsidRPr="00405057">
              <w:rPr>
                <w:sz w:val="24"/>
              </w:rPr>
              <w:t>at</w:t>
            </w:r>
            <w:proofErr w:type="spellEnd"/>
            <w:r w:rsidRPr="00405057">
              <w:rPr>
                <w:sz w:val="24"/>
              </w:rPr>
              <w:t xml:space="preserve"> SU.</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 xml:space="preserve">Type of document </w:t>
            </w:r>
          </w:p>
        </w:tc>
        <w:tc>
          <w:tcPr>
            <w:tcW w:w="4636"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Policy</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Commencement date</w:t>
            </w:r>
          </w:p>
        </w:tc>
        <w:tc>
          <w:tcPr>
            <w:tcW w:w="4636"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01/0</w:t>
            </w:r>
            <w:r w:rsidR="00006DDA">
              <w:rPr>
                <w:rFonts w:cs="Arial"/>
                <w:sz w:val="24"/>
                <w:szCs w:val="24"/>
                <w:lang w:val="en-GB" w:eastAsia="af-ZA"/>
              </w:rPr>
              <w:t>8</w:t>
            </w:r>
            <w:r w:rsidRPr="00B00AD4">
              <w:rPr>
                <w:rFonts w:cs="Arial"/>
                <w:sz w:val="24"/>
                <w:szCs w:val="24"/>
                <w:lang w:val="en-GB" w:eastAsia="af-ZA"/>
              </w:rPr>
              <w:t>/201</w:t>
            </w:r>
            <w:r w:rsidR="00006DDA">
              <w:rPr>
                <w:rFonts w:cs="Arial"/>
                <w:sz w:val="24"/>
                <w:szCs w:val="24"/>
                <w:lang w:val="en-GB" w:eastAsia="af-ZA"/>
              </w:rPr>
              <w:t>0</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Date of next review</w:t>
            </w:r>
          </w:p>
        </w:tc>
        <w:tc>
          <w:tcPr>
            <w:tcW w:w="4636" w:type="dxa"/>
          </w:tcPr>
          <w:p w:rsidR="00B00AD4" w:rsidRPr="00B00AD4" w:rsidRDefault="00B00AD4" w:rsidP="00006DDA">
            <w:pPr>
              <w:spacing w:line="360" w:lineRule="auto"/>
              <w:rPr>
                <w:rFonts w:cs="Arial"/>
                <w:sz w:val="24"/>
                <w:szCs w:val="24"/>
                <w:lang w:val="en-GB" w:eastAsia="af-ZA"/>
              </w:rPr>
            </w:pPr>
            <w:r w:rsidRPr="00B00AD4">
              <w:rPr>
                <w:rFonts w:cs="Arial"/>
                <w:sz w:val="24"/>
                <w:szCs w:val="24"/>
                <w:lang w:val="en-GB" w:eastAsia="af-ZA"/>
              </w:rPr>
              <w:t>1</w:t>
            </w:r>
            <w:r w:rsidR="00006DDA">
              <w:rPr>
                <w:rFonts w:cs="Arial"/>
                <w:sz w:val="24"/>
                <w:szCs w:val="24"/>
                <w:lang w:val="en-GB" w:eastAsia="af-ZA"/>
              </w:rPr>
              <w:t>3</w:t>
            </w:r>
            <w:r w:rsidRPr="00B00AD4">
              <w:rPr>
                <w:rFonts w:cs="Arial"/>
                <w:sz w:val="24"/>
                <w:szCs w:val="24"/>
                <w:lang w:val="en-GB" w:eastAsia="af-ZA"/>
              </w:rPr>
              <w:t>/0</w:t>
            </w:r>
            <w:r w:rsidR="00006DDA">
              <w:rPr>
                <w:rFonts w:cs="Arial"/>
                <w:sz w:val="24"/>
                <w:szCs w:val="24"/>
                <w:lang w:val="en-GB" w:eastAsia="af-ZA"/>
              </w:rPr>
              <w:t>3</w:t>
            </w:r>
            <w:r w:rsidRPr="00B00AD4">
              <w:rPr>
                <w:rFonts w:cs="Arial"/>
                <w:sz w:val="24"/>
                <w:szCs w:val="24"/>
                <w:lang w:val="en-GB" w:eastAsia="af-ZA"/>
              </w:rPr>
              <w:t>/2015</w:t>
            </w:r>
          </w:p>
        </w:tc>
      </w:tr>
      <w:tr w:rsidR="00B00AD4" w:rsidRPr="00B00AD4" w:rsidTr="00006DDA">
        <w:tc>
          <w:tcPr>
            <w:tcW w:w="4652" w:type="dxa"/>
            <w:tcBorders>
              <w:bottom w:val="double" w:sz="4" w:space="0" w:color="auto"/>
            </w:tcBorders>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 xml:space="preserve">Revision history </w:t>
            </w:r>
          </w:p>
        </w:tc>
        <w:tc>
          <w:tcPr>
            <w:tcW w:w="4636" w:type="dxa"/>
            <w:tcBorders>
              <w:bottom w:val="double" w:sz="4" w:space="0" w:color="auto"/>
            </w:tcBorders>
          </w:tcPr>
          <w:p w:rsidR="00B00AD4" w:rsidRDefault="00B00AD4" w:rsidP="00006DDA">
            <w:pPr>
              <w:spacing w:line="360" w:lineRule="auto"/>
              <w:rPr>
                <w:rFonts w:cs="Arial"/>
                <w:sz w:val="24"/>
                <w:szCs w:val="24"/>
                <w:lang w:val="en-GB" w:eastAsia="af-ZA"/>
              </w:rPr>
            </w:pPr>
            <w:r w:rsidRPr="00B00AD4">
              <w:rPr>
                <w:rFonts w:cs="Arial"/>
                <w:sz w:val="24"/>
                <w:szCs w:val="24"/>
                <w:lang w:val="en-GB" w:eastAsia="af-ZA"/>
              </w:rPr>
              <w:t>Re</w:t>
            </w:r>
            <w:r w:rsidR="00006DDA">
              <w:rPr>
                <w:rFonts w:cs="Arial"/>
                <w:sz w:val="24"/>
                <w:szCs w:val="24"/>
                <w:lang w:val="en-GB" w:eastAsia="af-ZA"/>
              </w:rPr>
              <w:t>vised version no. 1 on 19 November 2012</w:t>
            </w:r>
          </w:p>
          <w:p w:rsidR="00006DDA" w:rsidRPr="00B00AD4" w:rsidRDefault="00006DDA" w:rsidP="00006DDA">
            <w:pPr>
              <w:spacing w:line="360" w:lineRule="auto"/>
              <w:rPr>
                <w:rFonts w:cs="Arial"/>
                <w:sz w:val="24"/>
                <w:szCs w:val="24"/>
                <w:lang w:val="en-GB" w:eastAsia="af-ZA"/>
              </w:rPr>
            </w:pPr>
            <w:r>
              <w:rPr>
                <w:rFonts w:cs="Arial"/>
                <w:sz w:val="24"/>
                <w:szCs w:val="24"/>
                <w:lang w:val="en-GB" w:eastAsia="af-ZA"/>
              </w:rPr>
              <w:t>Revised version no. 2 on 17 April 2013</w:t>
            </w:r>
          </w:p>
        </w:tc>
      </w:tr>
      <w:tr w:rsidR="00B00AD4" w:rsidRPr="00B00AD4" w:rsidTr="00006DDA">
        <w:tc>
          <w:tcPr>
            <w:tcW w:w="9288" w:type="dxa"/>
            <w:gridSpan w:val="2"/>
            <w:tcBorders>
              <w:top w:val="double" w:sz="4" w:space="0" w:color="auto"/>
              <w:left w:val="double" w:sz="4" w:space="0" w:color="auto"/>
              <w:bottom w:val="double" w:sz="4" w:space="0" w:color="auto"/>
              <w:right w:val="double" w:sz="4" w:space="0" w:color="auto"/>
            </w:tcBorders>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 xml:space="preserve"> </w:t>
            </w:r>
          </w:p>
          <w:p w:rsidR="00B00AD4" w:rsidRPr="00B00AD4" w:rsidRDefault="00B00AD4" w:rsidP="00B00AD4">
            <w:pPr>
              <w:spacing w:line="360" w:lineRule="auto"/>
              <w:rPr>
                <w:rFonts w:cs="Arial"/>
                <w:b/>
                <w:sz w:val="24"/>
                <w:szCs w:val="24"/>
                <w:lang w:val="en-GB" w:eastAsia="af-ZA"/>
              </w:rPr>
            </w:pPr>
            <w:r w:rsidRPr="00B00AD4">
              <w:rPr>
                <w:rFonts w:cs="Arial"/>
                <w:b/>
                <w:sz w:val="24"/>
                <w:szCs w:val="24"/>
                <w:lang w:val="en-GB" w:eastAsia="af-ZA"/>
              </w:rPr>
              <w:t>Ownership of policy</w:t>
            </w:r>
          </w:p>
          <w:p w:rsidR="00B00AD4" w:rsidRPr="00B00AD4" w:rsidRDefault="00B00AD4" w:rsidP="00B00AD4">
            <w:pPr>
              <w:spacing w:line="360" w:lineRule="auto"/>
              <w:rPr>
                <w:rFonts w:cs="Arial"/>
                <w:b/>
                <w:sz w:val="24"/>
                <w:szCs w:val="24"/>
                <w:lang w:val="en-GB" w:eastAsia="af-ZA"/>
              </w:rPr>
            </w:pPr>
          </w:p>
        </w:tc>
      </w:tr>
      <w:tr w:rsidR="00B00AD4" w:rsidRPr="00B00AD4" w:rsidTr="00006DDA">
        <w:tc>
          <w:tcPr>
            <w:tcW w:w="4652" w:type="dxa"/>
            <w:tcBorders>
              <w:top w:val="double" w:sz="4" w:space="0" w:color="auto"/>
            </w:tcBorders>
          </w:tcPr>
          <w:p w:rsidR="00B00AD4" w:rsidRPr="00B00AD4" w:rsidRDefault="00B00AD4" w:rsidP="00B00AD4">
            <w:pPr>
              <w:spacing w:line="360" w:lineRule="auto"/>
              <w:rPr>
                <w:rFonts w:cs="Arial"/>
                <w:sz w:val="24"/>
                <w:szCs w:val="24"/>
                <w:vertAlign w:val="superscript"/>
                <w:lang w:val="en-GB" w:eastAsia="af-ZA"/>
              </w:rPr>
            </w:pPr>
            <w:r w:rsidRPr="00B00AD4">
              <w:rPr>
                <w:rFonts w:cs="Arial"/>
                <w:sz w:val="24"/>
                <w:szCs w:val="24"/>
                <w:lang w:val="en-GB" w:eastAsia="af-ZA"/>
              </w:rPr>
              <w:t>Owner of policy</w:t>
            </w:r>
            <w:r w:rsidRPr="00B00AD4">
              <w:rPr>
                <w:rFonts w:cs="Arial"/>
                <w:sz w:val="24"/>
                <w:szCs w:val="24"/>
                <w:vertAlign w:val="superscript"/>
                <w:lang w:val="en-GB" w:eastAsia="af-ZA"/>
              </w:rPr>
              <w:footnoteReference w:id="2"/>
            </w:r>
          </w:p>
        </w:tc>
        <w:tc>
          <w:tcPr>
            <w:tcW w:w="4636" w:type="dxa"/>
            <w:tcBorders>
              <w:top w:val="double" w:sz="4" w:space="0" w:color="auto"/>
            </w:tcBorders>
          </w:tcPr>
          <w:p w:rsidR="00B00AD4" w:rsidRPr="00B00AD4" w:rsidRDefault="00006DDA" w:rsidP="00B00AD4">
            <w:pPr>
              <w:spacing w:line="360" w:lineRule="auto"/>
              <w:rPr>
                <w:rFonts w:cs="Arial"/>
                <w:sz w:val="24"/>
                <w:szCs w:val="24"/>
                <w:vertAlign w:val="superscript"/>
                <w:lang w:val="en-GB" w:eastAsia="af-ZA"/>
              </w:rPr>
            </w:pPr>
            <w:r>
              <w:rPr>
                <w:rFonts w:cs="Arial"/>
                <w:sz w:val="24"/>
                <w:szCs w:val="24"/>
                <w:lang w:val="en-GB" w:eastAsia="af-ZA"/>
              </w:rPr>
              <w:t>Vice-Rector: Research and Innovation</w:t>
            </w:r>
            <w:r w:rsidR="00B00AD4" w:rsidRPr="00B00AD4">
              <w:rPr>
                <w:rFonts w:cs="Arial"/>
                <w:sz w:val="24"/>
                <w:szCs w:val="24"/>
                <w:lang w:val="en-GB" w:eastAsia="af-ZA"/>
              </w:rPr>
              <w:t xml:space="preserve"> </w:t>
            </w:r>
            <w:r w:rsidR="00457B0B">
              <w:rPr>
                <w:rFonts w:cs="Arial"/>
                <w:sz w:val="24"/>
                <w:szCs w:val="24"/>
                <w:vertAlign w:val="superscript"/>
                <w:lang w:val="en-GB" w:eastAsia="af-ZA"/>
              </w:rPr>
              <w:t>1</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Protector of policy</w:t>
            </w:r>
          </w:p>
        </w:tc>
        <w:tc>
          <w:tcPr>
            <w:tcW w:w="4636" w:type="dxa"/>
          </w:tcPr>
          <w:p w:rsidR="00B00AD4" w:rsidRPr="00B00AD4" w:rsidRDefault="00006DDA" w:rsidP="00B00AD4">
            <w:pPr>
              <w:spacing w:line="360" w:lineRule="auto"/>
              <w:rPr>
                <w:rFonts w:cs="Arial"/>
                <w:sz w:val="24"/>
                <w:szCs w:val="24"/>
                <w:lang w:val="en-GB" w:eastAsia="af-ZA"/>
              </w:rPr>
            </w:pPr>
            <w:r>
              <w:rPr>
                <w:rFonts w:cs="Arial"/>
                <w:sz w:val="24"/>
                <w:szCs w:val="24"/>
                <w:lang w:val="en-GB" w:eastAsia="af-ZA"/>
              </w:rPr>
              <w:t xml:space="preserve">Senior </w:t>
            </w:r>
            <w:r w:rsidR="00B00AD4" w:rsidRPr="00B00AD4">
              <w:rPr>
                <w:rFonts w:cs="Arial"/>
                <w:sz w:val="24"/>
                <w:szCs w:val="24"/>
                <w:lang w:val="en-GB" w:eastAsia="af-ZA"/>
              </w:rPr>
              <w:t xml:space="preserve">Director: </w:t>
            </w:r>
            <w:r>
              <w:rPr>
                <w:rFonts w:cs="Arial"/>
                <w:sz w:val="24"/>
                <w:szCs w:val="24"/>
                <w:lang w:val="en-GB" w:eastAsia="af-ZA"/>
              </w:rPr>
              <w:t>Research and Innovation</w:t>
            </w:r>
          </w:p>
          <w:p w:rsidR="00B00AD4" w:rsidRPr="00B00AD4" w:rsidRDefault="00006DDA" w:rsidP="00B00AD4">
            <w:pPr>
              <w:spacing w:line="360" w:lineRule="auto"/>
              <w:rPr>
                <w:rFonts w:cs="Arial"/>
                <w:sz w:val="24"/>
                <w:szCs w:val="24"/>
                <w:lang w:val="en-GB" w:eastAsia="af-ZA"/>
              </w:rPr>
            </w:pPr>
            <w:r>
              <w:rPr>
                <w:rFonts w:cs="Arial"/>
                <w:sz w:val="24"/>
                <w:szCs w:val="24"/>
                <w:lang w:val="en-GB" w:eastAsia="af-ZA"/>
              </w:rPr>
              <w:t>Division for Research Development</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Date of approval</w:t>
            </w:r>
          </w:p>
        </w:tc>
        <w:tc>
          <w:tcPr>
            <w:tcW w:w="4636" w:type="dxa"/>
          </w:tcPr>
          <w:p w:rsidR="00B00AD4" w:rsidRPr="00B00AD4" w:rsidRDefault="00006DDA" w:rsidP="00B00AD4">
            <w:pPr>
              <w:spacing w:line="360" w:lineRule="auto"/>
              <w:rPr>
                <w:rFonts w:cs="Arial"/>
                <w:sz w:val="24"/>
                <w:szCs w:val="24"/>
                <w:lang w:val="en-GB" w:eastAsia="af-ZA"/>
              </w:rPr>
            </w:pPr>
            <w:r>
              <w:rPr>
                <w:rFonts w:cs="Arial"/>
                <w:sz w:val="24"/>
                <w:szCs w:val="24"/>
                <w:lang w:val="en-GB" w:eastAsia="af-ZA"/>
              </w:rPr>
              <w:t>April 2010</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Approved by</w:t>
            </w:r>
          </w:p>
        </w:tc>
        <w:tc>
          <w:tcPr>
            <w:tcW w:w="4636"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Stellenbosch University Council</w:t>
            </w:r>
          </w:p>
        </w:tc>
      </w:tr>
      <w:tr w:rsidR="00B00AD4" w:rsidRPr="00B00AD4" w:rsidTr="00006DDA">
        <w:tc>
          <w:tcPr>
            <w:tcW w:w="4652" w:type="dxa"/>
          </w:tcPr>
          <w:p w:rsidR="00B00AD4" w:rsidRPr="00B00AD4" w:rsidRDefault="00B00AD4" w:rsidP="00B00AD4">
            <w:pPr>
              <w:spacing w:line="360" w:lineRule="auto"/>
              <w:rPr>
                <w:rFonts w:cs="Arial"/>
                <w:sz w:val="24"/>
                <w:szCs w:val="24"/>
                <w:lang w:val="en-GB" w:eastAsia="af-ZA"/>
              </w:rPr>
            </w:pPr>
            <w:r w:rsidRPr="00B00AD4">
              <w:rPr>
                <w:rFonts w:cs="Arial"/>
                <w:sz w:val="24"/>
                <w:szCs w:val="24"/>
                <w:lang w:val="en-GB" w:eastAsia="af-ZA"/>
              </w:rPr>
              <w:t>Key words</w:t>
            </w:r>
          </w:p>
        </w:tc>
        <w:tc>
          <w:tcPr>
            <w:tcW w:w="4636" w:type="dxa"/>
          </w:tcPr>
          <w:p w:rsidR="00B00AD4" w:rsidRPr="00B00AD4" w:rsidRDefault="00006DDA" w:rsidP="00B00AD4">
            <w:pPr>
              <w:spacing w:line="360" w:lineRule="auto"/>
              <w:rPr>
                <w:rFonts w:cs="Arial"/>
                <w:sz w:val="24"/>
                <w:szCs w:val="24"/>
                <w:lang w:val="en-GB" w:eastAsia="af-ZA"/>
              </w:rPr>
            </w:pPr>
            <w:r>
              <w:rPr>
                <w:rFonts w:cs="Arial"/>
                <w:sz w:val="24"/>
                <w:szCs w:val="24"/>
                <w:lang w:val="en-GB" w:eastAsia="af-ZA"/>
              </w:rPr>
              <w:t>Full cost budgets, research contracts, Intellectual Property, indirect costs.</w:t>
            </w:r>
          </w:p>
        </w:tc>
      </w:tr>
    </w:tbl>
    <w:p w:rsidR="00B00AD4" w:rsidRPr="00B00AD4" w:rsidRDefault="00B00AD4" w:rsidP="00B00AD4">
      <w:pPr>
        <w:pStyle w:val="BodyText"/>
      </w:pPr>
    </w:p>
    <w:p w:rsidR="00F52FC7" w:rsidRPr="00405057" w:rsidRDefault="00F52FC7" w:rsidP="00F52FC7">
      <w:pPr>
        <w:pStyle w:val="Heading1"/>
        <w:spacing w:line="360" w:lineRule="auto"/>
        <w:jc w:val="left"/>
        <w:rPr>
          <w:sz w:val="24"/>
          <w:szCs w:val="24"/>
        </w:rPr>
      </w:pPr>
      <w:r>
        <w:rPr>
          <w:sz w:val="24"/>
          <w:szCs w:val="24"/>
        </w:rPr>
        <w:lastRenderedPageBreak/>
        <w:t>1</w:t>
      </w:r>
      <w:r>
        <w:rPr>
          <w:sz w:val="24"/>
          <w:szCs w:val="24"/>
        </w:rPr>
        <w:tab/>
      </w:r>
      <w:r w:rsidRPr="00405057">
        <w:rPr>
          <w:sz w:val="24"/>
          <w:szCs w:val="24"/>
        </w:rPr>
        <w:t>PURPOSE OF THE POLICY</w:t>
      </w:r>
    </w:p>
    <w:p w:rsidR="00F52FC7" w:rsidRPr="00405057" w:rsidRDefault="00F52FC7" w:rsidP="00F52FC7">
      <w:pPr>
        <w:pStyle w:val="BodyText"/>
        <w:spacing w:line="360" w:lineRule="auto"/>
        <w:ind w:firstLine="0"/>
        <w:rPr>
          <w:sz w:val="24"/>
        </w:rPr>
      </w:pPr>
      <w:r w:rsidRPr="00405057">
        <w:rPr>
          <w:sz w:val="24"/>
        </w:rPr>
        <w:t xml:space="preserve">The purpose of the policy is to set a standard full cost calculation basis for the calculation of </w:t>
      </w:r>
      <w:r>
        <w:rPr>
          <w:sz w:val="24"/>
        </w:rPr>
        <w:t xml:space="preserve">the </w:t>
      </w:r>
      <w:r w:rsidRPr="00405057">
        <w:rPr>
          <w:sz w:val="24"/>
        </w:rPr>
        <w:t xml:space="preserve">costs related to research and research related contracts at SU. </w:t>
      </w:r>
    </w:p>
    <w:p w:rsidR="00F52FC7" w:rsidRPr="00405057" w:rsidRDefault="00F52FC7" w:rsidP="00F52FC7">
      <w:pPr>
        <w:pStyle w:val="Heading1"/>
        <w:spacing w:line="360" w:lineRule="auto"/>
        <w:jc w:val="left"/>
        <w:rPr>
          <w:sz w:val="24"/>
          <w:szCs w:val="24"/>
        </w:rPr>
      </w:pPr>
      <w:r>
        <w:rPr>
          <w:sz w:val="24"/>
          <w:szCs w:val="24"/>
        </w:rPr>
        <w:t>2</w:t>
      </w:r>
      <w:r>
        <w:rPr>
          <w:sz w:val="24"/>
          <w:szCs w:val="24"/>
        </w:rPr>
        <w:tab/>
      </w:r>
      <w:r w:rsidRPr="00405057">
        <w:rPr>
          <w:sz w:val="24"/>
          <w:szCs w:val="24"/>
        </w:rPr>
        <w:t>BACKGROUND</w:t>
      </w:r>
    </w:p>
    <w:p w:rsidR="00F52FC7" w:rsidRDefault="00F52FC7" w:rsidP="00F52FC7">
      <w:pPr>
        <w:pStyle w:val="BodyText"/>
        <w:spacing w:line="360" w:lineRule="auto"/>
        <w:ind w:firstLine="0"/>
        <w:rPr>
          <w:sz w:val="24"/>
        </w:rPr>
      </w:pPr>
      <w:r w:rsidRPr="00405057">
        <w:rPr>
          <w:sz w:val="24"/>
        </w:rPr>
        <w:t xml:space="preserve">Under the new Intellectual Property </w:t>
      </w:r>
      <w:r>
        <w:rPr>
          <w:sz w:val="24"/>
        </w:rPr>
        <w:t>R</w:t>
      </w:r>
      <w:r w:rsidRPr="00405057">
        <w:rPr>
          <w:sz w:val="24"/>
        </w:rPr>
        <w:t>ight</w:t>
      </w:r>
      <w:r>
        <w:rPr>
          <w:sz w:val="24"/>
        </w:rPr>
        <w:t>s</w:t>
      </w:r>
      <w:r w:rsidRPr="00405057">
        <w:rPr>
          <w:sz w:val="24"/>
        </w:rPr>
        <w:t xml:space="preserve"> from Public</w:t>
      </w:r>
      <w:r>
        <w:rPr>
          <w:sz w:val="24"/>
        </w:rPr>
        <w:t>ly Financed</w:t>
      </w:r>
      <w:r w:rsidRPr="00405057">
        <w:rPr>
          <w:sz w:val="24"/>
        </w:rPr>
        <w:t xml:space="preserve"> </w:t>
      </w:r>
      <w:r>
        <w:rPr>
          <w:sz w:val="24"/>
        </w:rPr>
        <w:t xml:space="preserve">Research and Development </w:t>
      </w:r>
      <w:r w:rsidRPr="00405057">
        <w:rPr>
          <w:sz w:val="24"/>
        </w:rPr>
        <w:t>Act</w:t>
      </w:r>
      <w:r w:rsidR="008B0CC8">
        <w:rPr>
          <w:sz w:val="24"/>
        </w:rPr>
        <w:t xml:space="preserve"> (IPR Act)</w:t>
      </w:r>
      <w:r>
        <w:rPr>
          <w:sz w:val="24"/>
        </w:rPr>
        <w:t>, No.</w:t>
      </w:r>
      <w:r w:rsidRPr="00405057">
        <w:rPr>
          <w:sz w:val="24"/>
        </w:rPr>
        <w:t xml:space="preserve"> 5</w:t>
      </w:r>
      <w:r>
        <w:rPr>
          <w:sz w:val="24"/>
        </w:rPr>
        <w:t>1 of 2008, any research that is</w:t>
      </w:r>
      <w:r w:rsidRPr="00405057">
        <w:rPr>
          <w:sz w:val="24"/>
        </w:rPr>
        <w:t xml:space="preserve"> undertaken by private fun</w:t>
      </w:r>
      <w:r>
        <w:rPr>
          <w:sz w:val="24"/>
        </w:rPr>
        <w:t xml:space="preserve">ding on a full cost basis, </w:t>
      </w:r>
      <w:r w:rsidRPr="00405057">
        <w:rPr>
          <w:sz w:val="24"/>
        </w:rPr>
        <w:t xml:space="preserve">normally </w:t>
      </w:r>
      <w:r>
        <w:rPr>
          <w:sz w:val="24"/>
        </w:rPr>
        <w:t xml:space="preserve">will </w:t>
      </w:r>
      <w:r w:rsidRPr="00405057">
        <w:rPr>
          <w:sz w:val="24"/>
        </w:rPr>
        <w:t>not be subject to the concerned legislation (Refer clause 15.4 of the relevant Act). It is therefore in the interest of SU and its research partners to ensure that the costing of all research and research related contracts takes place on a full cost basis where applicable.</w:t>
      </w:r>
    </w:p>
    <w:p w:rsidR="008B0CC8" w:rsidRPr="00405057" w:rsidRDefault="008B0CC8" w:rsidP="00F52FC7">
      <w:pPr>
        <w:pStyle w:val="BodyText"/>
        <w:spacing w:line="360" w:lineRule="auto"/>
        <w:ind w:firstLine="0"/>
        <w:rPr>
          <w:sz w:val="24"/>
        </w:rPr>
      </w:pPr>
      <w:r>
        <w:rPr>
          <w:sz w:val="24"/>
        </w:rPr>
        <w:t xml:space="preserve">A Task </w:t>
      </w:r>
      <w:r w:rsidR="0073005F">
        <w:rPr>
          <w:sz w:val="24"/>
        </w:rPr>
        <w:t>T</w:t>
      </w:r>
      <w:r>
        <w:rPr>
          <w:sz w:val="24"/>
        </w:rPr>
        <w:t xml:space="preserve">eam from the </w:t>
      </w:r>
      <w:r w:rsidRPr="004C0BE6">
        <w:rPr>
          <w:sz w:val="24"/>
        </w:rPr>
        <w:t>Finance Executive Forum (FEF) developed an approach that complies with the regulations of the IPR Act and that can be used by Universities as a basis for the calculation of indirect costs. This approach was submitted via the FEF to Higher Education South Africa (HESA)</w:t>
      </w:r>
      <w:r w:rsidR="00C21361" w:rsidRPr="004C0BE6">
        <w:rPr>
          <w:sz w:val="24"/>
        </w:rPr>
        <w:t>, who submit</w:t>
      </w:r>
      <w:r w:rsidR="00457B0B" w:rsidRPr="004C0BE6">
        <w:rPr>
          <w:sz w:val="24"/>
        </w:rPr>
        <w:t>ted</w:t>
      </w:r>
      <w:r w:rsidR="00C21361" w:rsidRPr="004C0BE6">
        <w:rPr>
          <w:sz w:val="24"/>
        </w:rPr>
        <w:t xml:space="preserve"> it to the</w:t>
      </w:r>
      <w:r w:rsidRPr="004C0BE6">
        <w:rPr>
          <w:sz w:val="24"/>
        </w:rPr>
        <w:t xml:space="preserve"> National Intellectual </w:t>
      </w:r>
      <w:r w:rsidR="004C0BE6">
        <w:rPr>
          <w:sz w:val="24"/>
        </w:rPr>
        <w:t xml:space="preserve">Property </w:t>
      </w:r>
      <w:r w:rsidRPr="004C0BE6">
        <w:rPr>
          <w:sz w:val="24"/>
        </w:rPr>
        <w:t>Management Office</w:t>
      </w:r>
      <w:r w:rsidR="00457B0B" w:rsidRPr="004C0BE6">
        <w:rPr>
          <w:sz w:val="24"/>
        </w:rPr>
        <w:t xml:space="preserve"> (NIPMO</w:t>
      </w:r>
      <w:r w:rsidR="00457B0B" w:rsidRPr="004C0BE6">
        <w:rPr>
          <w:vertAlign w:val="superscript"/>
        </w:rPr>
        <w:footnoteReference w:id="3"/>
      </w:r>
      <w:r w:rsidR="00457B0B" w:rsidRPr="004C0BE6">
        <w:rPr>
          <w:sz w:val="24"/>
        </w:rPr>
        <w:t>)</w:t>
      </w:r>
      <w:r w:rsidR="00C21361" w:rsidRPr="004C0BE6">
        <w:rPr>
          <w:sz w:val="24"/>
        </w:rPr>
        <w:t xml:space="preserve"> on behalf of all the Universities. </w:t>
      </w:r>
    </w:p>
    <w:p w:rsidR="00F52FC7" w:rsidRPr="00405057" w:rsidRDefault="00F52FC7" w:rsidP="00F52FC7">
      <w:pPr>
        <w:pStyle w:val="Heading1"/>
        <w:spacing w:line="360" w:lineRule="auto"/>
        <w:jc w:val="left"/>
        <w:rPr>
          <w:sz w:val="24"/>
          <w:szCs w:val="24"/>
        </w:rPr>
      </w:pPr>
      <w:r>
        <w:rPr>
          <w:sz w:val="24"/>
          <w:szCs w:val="24"/>
        </w:rPr>
        <w:t>3</w:t>
      </w:r>
      <w:r>
        <w:rPr>
          <w:sz w:val="24"/>
          <w:szCs w:val="24"/>
        </w:rPr>
        <w:tab/>
      </w:r>
      <w:r w:rsidRPr="00405057">
        <w:rPr>
          <w:sz w:val="24"/>
          <w:szCs w:val="24"/>
        </w:rPr>
        <w:t>POLICY</w:t>
      </w:r>
    </w:p>
    <w:p w:rsidR="00F52FC7" w:rsidRDefault="00F52FC7" w:rsidP="00F52FC7">
      <w:pPr>
        <w:pStyle w:val="BodyText"/>
        <w:spacing w:line="360" w:lineRule="auto"/>
        <w:ind w:firstLine="0"/>
        <w:rPr>
          <w:b/>
          <w:sz w:val="24"/>
        </w:rPr>
      </w:pPr>
      <w:r>
        <w:rPr>
          <w:b/>
          <w:sz w:val="24"/>
        </w:rPr>
        <w:t>3.1 Application</w:t>
      </w:r>
    </w:p>
    <w:p w:rsidR="00F52FC7" w:rsidRDefault="00F52FC7" w:rsidP="00F52FC7">
      <w:pPr>
        <w:pStyle w:val="BodyText"/>
        <w:spacing w:line="360" w:lineRule="auto"/>
        <w:ind w:firstLine="0"/>
        <w:rPr>
          <w:sz w:val="24"/>
        </w:rPr>
      </w:pPr>
      <w:r>
        <w:rPr>
          <w:sz w:val="24"/>
        </w:rPr>
        <w:t>The policy applies to all projects where SU personnel contractually undertake to render research and research related services and consultation to external parties.</w:t>
      </w:r>
      <w:r w:rsidR="00457B0B">
        <w:rPr>
          <w:sz w:val="24"/>
        </w:rPr>
        <w:t xml:space="preserve"> The </w:t>
      </w:r>
      <w:r w:rsidR="00457B0B" w:rsidRPr="00457B0B">
        <w:rPr>
          <w:sz w:val="24"/>
        </w:rPr>
        <w:t>Policy must be</w:t>
      </w:r>
      <w:r w:rsidR="00457B0B">
        <w:rPr>
          <w:sz w:val="24"/>
        </w:rPr>
        <w:t xml:space="preserve"> read in conjunction with the Indirect Cost Recovery Rate (ICRR)</w:t>
      </w:r>
      <w:r w:rsidR="00457B0B" w:rsidRPr="00457B0B">
        <w:rPr>
          <w:sz w:val="24"/>
        </w:rPr>
        <w:t xml:space="preserve"> Policy</w:t>
      </w:r>
      <w:r w:rsidR="00457B0B">
        <w:rPr>
          <w:sz w:val="24"/>
        </w:rPr>
        <w:t xml:space="preserve"> with regard to third-stream income</w:t>
      </w:r>
      <w:r w:rsidR="00457B0B" w:rsidRPr="00457B0B">
        <w:rPr>
          <w:sz w:val="24"/>
        </w:rPr>
        <w:t>.</w:t>
      </w:r>
    </w:p>
    <w:p w:rsidR="00F52FC7" w:rsidRPr="00457B0B" w:rsidRDefault="00F52FC7" w:rsidP="00F52FC7">
      <w:pPr>
        <w:pStyle w:val="BodyText"/>
        <w:spacing w:line="360" w:lineRule="auto"/>
        <w:ind w:firstLine="0"/>
        <w:rPr>
          <w:sz w:val="24"/>
        </w:rPr>
      </w:pPr>
      <w:r>
        <w:rPr>
          <w:sz w:val="24"/>
        </w:rPr>
        <w:t xml:space="preserve">The contract cost must be determined according to the guidelines set out in the policy. If the contract price is determined at less than the full cost, a request for such deviation from the </w:t>
      </w:r>
      <w:r>
        <w:rPr>
          <w:sz w:val="24"/>
        </w:rPr>
        <w:lastRenderedPageBreak/>
        <w:t>prescribed policy must be directed to the Manager: Research Contracts, who will consider it in consultation with the Senior Directors Research &amp; Innovation and/or Finance (as applicable) for</w:t>
      </w:r>
      <w:r w:rsidR="00457B0B">
        <w:rPr>
          <w:sz w:val="24"/>
        </w:rPr>
        <w:t xml:space="preserve"> </w:t>
      </w:r>
      <w:r>
        <w:rPr>
          <w:sz w:val="24"/>
        </w:rPr>
        <w:t>recommendation to the Dean, where the Dean must provide final approval for deviations from this policy.  Any contract where it has been agreed with the client that the client will obtain intellectual property rights, will however not be priced at less than full cost</w:t>
      </w:r>
      <w:r w:rsidR="006060E2">
        <w:rPr>
          <w:sz w:val="24"/>
        </w:rPr>
        <w:t xml:space="preserve">. </w:t>
      </w:r>
      <w:r w:rsidR="006060E2" w:rsidRPr="006060E2">
        <w:rPr>
          <w:sz w:val="24"/>
        </w:rPr>
        <w:t xml:space="preserve">The </w:t>
      </w:r>
      <w:r w:rsidR="006060E2">
        <w:rPr>
          <w:sz w:val="24"/>
        </w:rPr>
        <w:t xml:space="preserve">pricing of such contracts is also subject to </w:t>
      </w:r>
      <w:r w:rsidR="006060E2" w:rsidRPr="006060E2">
        <w:rPr>
          <w:sz w:val="24"/>
        </w:rPr>
        <w:t>the SU Policy in respect of the Commercial Exploitation of Intellectual Property</w:t>
      </w:r>
      <w:r w:rsidR="006060E2">
        <w:rPr>
          <w:sz w:val="24"/>
        </w:rPr>
        <w:t xml:space="preserve"> (IP Policy)</w:t>
      </w:r>
      <w:r w:rsidR="006060E2" w:rsidRPr="006060E2">
        <w:rPr>
          <w:sz w:val="24"/>
        </w:rPr>
        <w:t>.</w:t>
      </w:r>
    </w:p>
    <w:p w:rsidR="00F52FC7" w:rsidRDefault="00F52FC7" w:rsidP="00F52FC7">
      <w:pPr>
        <w:pStyle w:val="BodyText"/>
        <w:spacing w:line="360" w:lineRule="auto"/>
        <w:ind w:firstLine="0"/>
        <w:rPr>
          <w:b/>
          <w:sz w:val="24"/>
          <w:szCs w:val="24"/>
        </w:rPr>
      </w:pPr>
      <w:proofErr w:type="gramStart"/>
      <w:r>
        <w:rPr>
          <w:b/>
          <w:sz w:val="24"/>
          <w:szCs w:val="24"/>
        </w:rPr>
        <w:t>3.2  Price</w:t>
      </w:r>
      <w:proofErr w:type="gramEnd"/>
      <w:r>
        <w:rPr>
          <w:b/>
          <w:sz w:val="24"/>
          <w:szCs w:val="24"/>
        </w:rPr>
        <w:t xml:space="preserve"> estimation of contracts</w:t>
      </w:r>
    </w:p>
    <w:p w:rsidR="00F52FC7" w:rsidRPr="00D444A2" w:rsidRDefault="00F52FC7" w:rsidP="00F52FC7">
      <w:pPr>
        <w:pStyle w:val="BodyText"/>
        <w:spacing w:line="360" w:lineRule="auto"/>
        <w:ind w:firstLine="0"/>
        <w:rPr>
          <w:sz w:val="24"/>
          <w:szCs w:val="24"/>
        </w:rPr>
      </w:pPr>
      <w:r>
        <w:rPr>
          <w:sz w:val="24"/>
          <w:szCs w:val="24"/>
        </w:rPr>
        <w:t>According to the requirements for the estimation of price according to the full cost approach, all contract prices must be calculated in such a way that all costs relating to the project are taken into account by the contract price. The final price or price estimation of a contract, subject to the applicable minimum requirements regarding the full cost calculation, is left to the discretion of the relevant environment, because the costing model provides for a contract margin which can be determined by the relevant environment itself.</w:t>
      </w:r>
    </w:p>
    <w:p w:rsidR="00F52FC7" w:rsidRDefault="00F52FC7" w:rsidP="00F52FC7">
      <w:pPr>
        <w:pStyle w:val="BodyText"/>
        <w:spacing w:line="360" w:lineRule="auto"/>
        <w:ind w:firstLine="0"/>
        <w:rPr>
          <w:b/>
          <w:sz w:val="24"/>
          <w:szCs w:val="24"/>
        </w:rPr>
      </w:pPr>
      <w:r>
        <w:rPr>
          <w:b/>
          <w:sz w:val="24"/>
          <w:szCs w:val="24"/>
        </w:rPr>
        <w:t>3.3 Full cost calculation</w:t>
      </w:r>
    </w:p>
    <w:p w:rsidR="00F52FC7" w:rsidRDefault="00F52FC7" w:rsidP="00F52FC7">
      <w:pPr>
        <w:pStyle w:val="BodyText"/>
        <w:spacing w:line="360" w:lineRule="auto"/>
        <w:ind w:firstLine="0"/>
        <w:rPr>
          <w:sz w:val="24"/>
          <w:szCs w:val="24"/>
        </w:rPr>
      </w:pPr>
      <w:r>
        <w:rPr>
          <w:sz w:val="24"/>
          <w:szCs w:val="24"/>
        </w:rPr>
        <w:t>In order to calculate the full cost of an activity/project, the direct cost to the project has to be identified and determined; the indirect cost to the project must also be calculated and the full cost of the project amounts to the sum of these two categories.</w:t>
      </w:r>
    </w:p>
    <w:p w:rsidR="00F52FC7" w:rsidRDefault="00F52FC7" w:rsidP="00F52FC7">
      <w:pPr>
        <w:pStyle w:val="BodyText"/>
        <w:spacing w:line="360" w:lineRule="auto"/>
        <w:rPr>
          <w:b/>
          <w:sz w:val="24"/>
          <w:szCs w:val="24"/>
        </w:rPr>
      </w:pPr>
      <w:r>
        <w:rPr>
          <w:b/>
          <w:sz w:val="24"/>
          <w:szCs w:val="24"/>
        </w:rPr>
        <w:t xml:space="preserve">3.3.1 Direct cost </w:t>
      </w:r>
    </w:p>
    <w:p w:rsidR="00F52FC7" w:rsidRDefault="00F52FC7" w:rsidP="00F52FC7">
      <w:pPr>
        <w:pStyle w:val="BodyText"/>
        <w:spacing w:line="360" w:lineRule="auto"/>
        <w:ind w:left="360" w:firstLine="0"/>
        <w:rPr>
          <w:sz w:val="24"/>
          <w:szCs w:val="24"/>
        </w:rPr>
      </w:pPr>
      <w:r>
        <w:rPr>
          <w:sz w:val="24"/>
          <w:szCs w:val="24"/>
        </w:rPr>
        <w:t>Direct cost is all those costs which can directly be ascribed to the project and can include the following:</w:t>
      </w:r>
    </w:p>
    <w:p w:rsidR="00F52FC7" w:rsidRDefault="00F52FC7" w:rsidP="00F52FC7">
      <w:pPr>
        <w:pStyle w:val="BodyText"/>
        <w:numPr>
          <w:ilvl w:val="0"/>
          <w:numId w:val="14"/>
        </w:numPr>
        <w:spacing w:line="360" w:lineRule="auto"/>
        <w:rPr>
          <w:sz w:val="24"/>
          <w:szCs w:val="24"/>
        </w:rPr>
      </w:pPr>
      <w:r>
        <w:rPr>
          <w:sz w:val="24"/>
          <w:szCs w:val="24"/>
        </w:rPr>
        <w:t xml:space="preserve">Salary and salary related expenses of personnel involved with the project. The minimum cost of salaries is specifically instructed to correspond with SU’s accepted basic remuneration levels and any deviation must be </w:t>
      </w:r>
      <w:r>
        <w:rPr>
          <w:sz w:val="24"/>
        </w:rPr>
        <w:t>recommended by the Dean/Environmental Head.</w:t>
      </w:r>
      <w:r w:rsidRPr="00CC38A1">
        <w:rPr>
          <w:rStyle w:val="FootnoteReference"/>
          <w:sz w:val="24"/>
        </w:rPr>
        <w:t xml:space="preserve"> </w:t>
      </w:r>
    </w:p>
    <w:p w:rsidR="00F52FC7" w:rsidRPr="006E5333" w:rsidRDefault="00F52FC7" w:rsidP="00F52FC7">
      <w:pPr>
        <w:pStyle w:val="BodyText"/>
        <w:numPr>
          <w:ilvl w:val="0"/>
          <w:numId w:val="14"/>
        </w:numPr>
        <w:spacing w:line="360" w:lineRule="auto"/>
        <w:rPr>
          <w:sz w:val="24"/>
          <w:szCs w:val="24"/>
        </w:rPr>
      </w:pPr>
      <w:r>
        <w:rPr>
          <w:sz w:val="24"/>
          <w:szCs w:val="24"/>
        </w:rPr>
        <w:t>Salaries / bursaries for students participating as research assistants</w:t>
      </w:r>
      <w:r>
        <w:rPr>
          <w:sz w:val="24"/>
        </w:rPr>
        <w:t xml:space="preserve"> </w:t>
      </w:r>
    </w:p>
    <w:p w:rsidR="00F52FC7" w:rsidRPr="006E5333" w:rsidRDefault="00F52FC7" w:rsidP="00F52FC7">
      <w:pPr>
        <w:pStyle w:val="BodyText"/>
        <w:numPr>
          <w:ilvl w:val="0"/>
          <w:numId w:val="14"/>
        </w:numPr>
        <w:spacing w:line="360" w:lineRule="auto"/>
        <w:rPr>
          <w:sz w:val="24"/>
          <w:szCs w:val="24"/>
        </w:rPr>
      </w:pPr>
      <w:r>
        <w:rPr>
          <w:sz w:val="24"/>
        </w:rPr>
        <w:t>Consumable material / stock</w:t>
      </w:r>
    </w:p>
    <w:p w:rsidR="00F52FC7" w:rsidRPr="004914A3" w:rsidRDefault="00F52FC7" w:rsidP="00F52FC7">
      <w:pPr>
        <w:pStyle w:val="BodyText"/>
        <w:numPr>
          <w:ilvl w:val="0"/>
          <w:numId w:val="14"/>
        </w:numPr>
        <w:spacing w:line="360" w:lineRule="auto"/>
        <w:rPr>
          <w:sz w:val="24"/>
          <w:szCs w:val="24"/>
        </w:rPr>
      </w:pPr>
      <w:r>
        <w:rPr>
          <w:sz w:val="24"/>
        </w:rPr>
        <w:lastRenderedPageBreak/>
        <w:t>Purc</w:t>
      </w:r>
      <w:r w:rsidR="006060E2">
        <w:rPr>
          <w:sz w:val="24"/>
        </w:rPr>
        <w:t xml:space="preserve">hase </w:t>
      </w:r>
      <w:r>
        <w:rPr>
          <w:sz w:val="24"/>
        </w:rPr>
        <w:t>&amp; components specifically for the project</w:t>
      </w:r>
    </w:p>
    <w:p w:rsidR="00F52FC7" w:rsidRPr="006E5333" w:rsidRDefault="00F52FC7" w:rsidP="00F52FC7">
      <w:pPr>
        <w:pStyle w:val="BodyText"/>
        <w:numPr>
          <w:ilvl w:val="0"/>
          <w:numId w:val="14"/>
        </w:numPr>
        <w:spacing w:line="360" w:lineRule="auto"/>
        <w:rPr>
          <w:sz w:val="24"/>
          <w:szCs w:val="24"/>
        </w:rPr>
      </w:pPr>
      <w:r>
        <w:rPr>
          <w:sz w:val="24"/>
        </w:rPr>
        <w:t xml:space="preserve">Maintenance of equipment </w:t>
      </w:r>
    </w:p>
    <w:p w:rsidR="00F52FC7" w:rsidRPr="008B60A6" w:rsidRDefault="00F52FC7" w:rsidP="00F52FC7">
      <w:pPr>
        <w:pStyle w:val="BodyText"/>
        <w:numPr>
          <w:ilvl w:val="0"/>
          <w:numId w:val="14"/>
        </w:numPr>
        <w:spacing w:line="360" w:lineRule="auto"/>
        <w:rPr>
          <w:sz w:val="24"/>
          <w:szCs w:val="24"/>
        </w:rPr>
      </w:pPr>
      <w:r>
        <w:rPr>
          <w:sz w:val="24"/>
        </w:rPr>
        <w:t>Computer equipment &amp; software</w:t>
      </w:r>
    </w:p>
    <w:p w:rsidR="00F52FC7" w:rsidRPr="006E5333" w:rsidRDefault="00F52FC7" w:rsidP="00F52FC7">
      <w:pPr>
        <w:pStyle w:val="BodyText"/>
        <w:numPr>
          <w:ilvl w:val="0"/>
          <w:numId w:val="14"/>
        </w:numPr>
        <w:spacing w:line="360" w:lineRule="auto"/>
        <w:rPr>
          <w:sz w:val="24"/>
          <w:szCs w:val="24"/>
        </w:rPr>
      </w:pPr>
      <w:r>
        <w:rPr>
          <w:sz w:val="24"/>
        </w:rPr>
        <w:t>Administrative cost and professional management costs directly related to the project</w:t>
      </w:r>
    </w:p>
    <w:p w:rsidR="00F52FC7" w:rsidRPr="006E5333" w:rsidRDefault="00F52FC7" w:rsidP="00F52FC7">
      <w:pPr>
        <w:pStyle w:val="BodyText"/>
        <w:numPr>
          <w:ilvl w:val="0"/>
          <w:numId w:val="14"/>
        </w:numPr>
        <w:spacing w:line="360" w:lineRule="auto"/>
        <w:rPr>
          <w:sz w:val="24"/>
          <w:szCs w:val="24"/>
        </w:rPr>
      </w:pPr>
      <w:r>
        <w:rPr>
          <w:sz w:val="24"/>
        </w:rPr>
        <w:t>Laboratory cost</w:t>
      </w:r>
    </w:p>
    <w:p w:rsidR="00F52FC7" w:rsidRPr="006E5333" w:rsidRDefault="00F52FC7" w:rsidP="00F52FC7">
      <w:pPr>
        <w:pStyle w:val="BodyText"/>
        <w:numPr>
          <w:ilvl w:val="0"/>
          <w:numId w:val="14"/>
        </w:numPr>
        <w:spacing w:line="360" w:lineRule="auto"/>
        <w:rPr>
          <w:sz w:val="24"/>
          <w:szCs w:val="24"/>
        </w:rPr>
      </w:pPr>
      <w:r>
        <w:rPr>
          <w:sz w:val="24"/>
        </w:rPr>
        <w:t>Cost for use of specialised equipment (</w:t>
      </w:r>
      <w:proofErr w:type="spellStart"/>
      <w:r>
        <w:rPr>
          <w:sz w:val="24"/>
        </w:rPr>
        <w:t>eg</w:t>
      </w:r>
      <w:proofErr w:type="spellEnd"/>
      <w:r>
        <w:rPr>
          <w:sz w:val="24"/>
        </w:rPr>
        <w:t xml:space="preserve"> The Central Analytical Facilities)</w:t>
      </w:r>
    </w:p>
    <w:p w:rsidR="00F52FC7" w:rsidRPr="006E5333" w:rsidRDefault="00F52FC7" w:rsidP="00F52FC7">
      <w:pPr>
        <w:pStyle w:val="BodyText"/>
        <w:numPr>
          <w:ilvl w:val="0"/>
          <w:numId w:val="14"/>
        </w:numPr>
        <w:spacing w:line="360" w:lineRule="auto"/>
        <w:rPr>
          <w:sz w:val="24"/>
          <w:szCs w:val="24"/>
        </w:rPr>
      </w:pPr>
      <w:r>
        <w:rPr>
          <w:sz w:val="24"/>
        </w:rPr>
        <w:t>Consultation services that are bought in</w:t>
      </w:r>
    </w:p>
    <w:p w:rsidR="00F52FC7" w:rsidRPr="006E5333" w:rsidRDefault="00F52FC7" w:rsidP="00F52FC7">
      <w:pPr>
        <w:pStyle w:val="BodyText"/>
        <w:numPr>
          <w:ilvl w:val="0"/>
          <w:numId w:val="14"/>
        </w:numPr>
        <w:spacing w:line="360" w:lineRule="auto"/>
        <w:rPr>
          <w:sz w:val="24"/>
          <w:szCs w:val="24"/>
        </w:rPr>
      </w:pPr>
      <w:r>
        <w:rPr>
          <w:sz w:val="24"/>
        </w:rPr>
        <w:t>Audit fees (</w:t>
      </w:r>
      <w:proofErr w:type="spellStart"/>
      <w:r>
        <w:rPr>
          <w:sz w:val="24"/>
        </w:rPr>
        <w:t>eg</w:t>
      </w:r>
      <w:proofErr w:type="spellEnd"/>
      <w:r>
        <w:rPr>
          <w:sz w:val="24"/>
        </w:rPr>
        <w:t xml:space="preserve"> where the client specifically insist on </w:t>
      </w:r>
      <w:proofErr w:type="spellStart"/>
      <w:r>
        <w:rPr>
          <w:sz w:val="24"/>
        </w:rPr>
        <w:t>i.a</w:t>
      </w:r>
      <w:proofErr w:type="spellEnd"/>
      <w:r>
        <w:rPr>
          <w:sz w:val="24"/>
        </w:rPr>
        <w:t>. annual audited financial reports)</w:t>
      </w:r>
    </w:p>
    <w:p w:rsidR="00F52FC7" w:rsidRDefault="00F52FC7" w:rsidP="00F52FC7">
      <w:pPr>
        <w:pStyle w:val="BodyText"/>
        <w:numPr>
          <w:ilvl w:val="0"/>
          <w:numId w:val="14"/>
        </w:numPr>
        <w:spacing w:line="360" w:lineRule="auto"/>
        <w:rPr>
          <w:sz w:val="24"/>
          <w:szCs w:val="24"/>
        </w:rPr>
      </w:pPr>
      <w:r>
        <w:rPr>
          <w:sz w:val="24"/>
          <w:szCs w:val="24"/>
        </w:rPr>
        <w:t xml:space="preserve">Travel &amp; </w:t>
      </w:r>
      <w:r w:rsidR="0073005F">
        <w:rPr>
          <w:sz w:val="24"/>
          <w:szCs w:val="24"/>
        </w:rPr>
        <w:t xml:space="preserve">accommodation </w:t>
      </w:r>
      <w:r>
        <w:rPr>
          <w:sz w:val="24"/>
          <w:szCs w:val="24"/>
        </w:rPr>
        <w:t>cost, as well as day fees</w:t>
      </w:r>
    </w:p>
    <w:p w:rsidR="00F52FC7" w:rsidRDefault="006060E2" w:rsidP="00F52FC7">
      <w:pPr>
        <w:pStyle w:val="BodyText"/>
        <w:numPr>
          <w:ilvl w:val="0"/>
          <w:numId w:val="14"/>
        </w:numPr>
        <w:spacing w:line="360" w:lineRule="auto"/>
        <w:rPr>
          <w:sz w:val="24"/>
          <w:szCs w:val="24"/>
        </w:rPr>
      </w:pPr>
      <w:r>
        <w:rPr>
          <w:sz w:val="24"/>
          <w:szCs w:val="24"/>
        </w:rPr>
        <w:t>Additional</w:t>
      </w:r>
      <w:r w:rsidR="00F52FC7">
        <w:rPr>
          <w:sz w:val="24"/>
          <w:szCs w:val="24"/>
        </w:rPr>
        <w:t xml:space="preserve"> insurance not included in SU’s overhead insurance portfolio </w:t>
      </w:r>
    </w:p>
    <w:p w:rsidR="00F52FC7" w:rsidRDefault="00F52FC7" w:rsidP="00F52FC7">
      <w:pPr>
        <w:pStyle w:val="BodyText"/>
        <w:numPr>
          <w:ilvl w:val="0"/>
          <w:numId w:val="14"/>
        </w:numPr>
        <w:spacing w:line="360" w:lineRule="auto"/>
        <w:rPr>
          <w:sz w:val="24"/>
          <w:szCs w:val="24"/>
        </w:rPr>
      </w:pPr>
      <w:r>
        <w:rPr>
          <w:sz w:val="24"/>
          <w:szCs w:val="24"/>
        </w:rPr>
        <w:t>Any other expenses which can directly be ascribed to the project and are not listed above</w:t>
      </w:r>
    </w:p>
    <w:p w:rsidR="00F52FC7" w:rsidRPr="001543DE" w:rsidRDefault="00F52FC7" w:rsidP="00F52FC7">
      <w:pPr>
        <w:pStyle w:val="BodyText"/>
        <w:spacing w:line="360" w:lineRule="auto"/>
        <w:ind w:left="330" w:firstLine="0"/>
        <w:rPr>
          <w:b/>
          <w:sz w:val="24"/>
          <w:szCs w:val="24"/>
        </w:rPr>
      </w:pPr>
      <w:r w:rsidRPr="001543DE">
        <w:rPr>
          <w:b/>
          <w:sz w:val="24"/>
          <w:szCs w:val="24"/>
        </w:rPr>
        <w:t>3.3.2 Indirect Cost</w:t>
      </w:r>
    </w:p>
    <w:p w:rsidR="00F52FC7" w:rsidRDefault="004C0BE6" w:rsidP="00F52FC7">
      <w:pPr>
        <w:pStyle w:val="BodyText"/>
        <w:spacing w:line="360" w:lineRule="auto"/>
        <w:ind w:left="330" w:firstLine="0"/>
        <w:rPr>
          <w:sz w:val="24"/>
          <w:szCs w:val="24"/>
        </w:rPr>
      </w:pPr>
      <w:r>
        <w:rPr>
          <w:sz w:val="24"/>
          <w:szCs w:val="24"/>
        </w:rPr>
        <w:t>Indirect or overhead cost include</w:t>
      </w:r>
      <w:r w:rsidR="00F52FC7">
        <w:rPr>
          <w:sz w:val="24"/>
          <w:szCs w:val="24"/>
        </w:rPr>
        <w:t xml:space="preserve"> those expenses incurred by SU</w:t>
      </w:r>
      <w:r>
        <w:rPr>
          <w:sz w:val="24"/>
          <w:szCs w:val="24"/>
        </w:rPr>
        <w:t>,</w:t>
      </w:r>
      <w:r w:rsidR="00F52FC7">
        <w:rPr>
          <w:sz w:val="24"/>
          <w:szCs w:val="24"/>
        </w:rPr>
        <w:t xml:space="preserve"> and is essential to provide the necessary support in order to successfully manage and deliver the specific research project. Indirect cost does not represent a profit margin for SU, but is determined by a percentage levy of the total project cost</w:t>
      </w:r>
      <w:r w:rsidR="006060E2">
        <w:rPr>
          <w:sz w:val="24"/>
          <w:szCs w:val="24"/>
        </w:rPr>
        <w:t>.</w:t>
      </w:r>
      <w:r w:rsidR="00F52FC7">
        <w:rPr>
          <w:sz w:val="24"/>
          <w:szCs w:val="24"/>
        </w:rPr>
        <w:t xml:space="preserve"> </w:t>
      </w:r>
      <w:r w:rsidR="006060E2">
        <w:rPr>
          <w:sz w:val="24"/>
          <w:szCs w:val="24"/>
        </w:rPr>
        <w:t>The ICRR is based on the HESA approach taking into account the unique environment of SU.</w:t>
      </w:r>
    </w:p>
    <w:p w:rsidR="00F52FC7" w:rsidRDefault="00F52FC7" w:rsidP="00F52FC7">
      <w:pPr>
        <w:pStyle w:val="BodyText"/>
        <w:spacing w:line="360" w:lineRule="auto"/>
        <w:ind w:left="330" w:firstLine="0"/>
        <w:rPr>
          <w:sz w:val="24"/>
          <w:szCs w:val="24"/>
        </w:rPr>
      </w:pPr>
      <w:r>
        <w:rPr>
          <w:sz w:val="24"/>
          <w:szCs w:val="24"/>
        </w:rPr>
        <w:t xml:space="preserve">The indirect cost that is recovered from research contracts, by </w:t>
      </w:r>
      <w:r w:rsidR="006060E2">
        <w:rPr>
          <w:sz w:val="24"/>
          <w:szCs w:val="24"/>
        </w:rPr>
        <w:t>the ICRR</w:t>
      </w:r>
      <w:r>
        <w:rPr>
          <w:sz w:val="24"/>
          <w:szCs w:val="24"/>
        </w:rPr>
        <w:t xml:space="preserve"> as referred to above, includes the following:</w:t>
      </w:r>
    </w:p>
    <w:p w:rsidR="00F52FC7" w:rsidRDefault="00F52FC7" w:rsidP="00F52FC7">
      <w:pPr>
        <w:pStyle w:val="BodyText"/>
        <w:numPr>
          <w:ilvl w:val="0"/>
          <w:numId w:val="14"/>
        </w:numPr>
        <w:spacing w:line="360" w:lineRule="auto"/>
        <w:rPr>
          <w:sz w:val="24"/>
          <w:szCs w:val="24"/>
        </w:rPr>
      </w:pPr>
      <w:r>
        <w:rPr>
          <w:sz w:val="24"/>
          <w:szCs w:val="24"/>
        </w:rPr>
        <w:t>Overhead administrative and other costs within the Faculty/Environment</w:t>
      </w:r>
    </w:p>
    <w:p w:rsidR="00F52FC7" w:rsidRDefault="00F52FC7" w:rsidP="00F52FC7">
      <w:pPr>
        <w:pStyle w:val="BodyText"/>
        <w:numPr>
          <w:ilvl w:val="0"/>
          <w:numId w:val="14"/>
        </w:numPr>
        <w:spacing w:line="360" w:lineRule="auto"/>
        <w:rPr>
          <w:sz w:val="24"/>
          <w:szCs w:val="24"/>
        </w:rPr>
      </w:pPr>
      <w:r>
        <w:rPr>
          <w:sz w:val="24"/>
          <w:szCs w:val="24"/>
        </w:rPr>
        <w:t>Information and Communication Services &amp; Support</w:t>
      </w:r>
    </w:p>
    <w:p w:rsidR="00F52FC7" w:rsidRDefault="00F52FC7" w:rsidP="00F52FC7">
      <w:pPr>
        <w:pStyle w:val="BodyText"/>
        <w:numPr>
          <w:ilvl w:val="0"/>
          <w:numId w:val="14"/>
        </w:numPr>
        <w:spacing w:line="360" w:lineRule="auto"/>
        <w:rPr>
          <w:sz w:val="24"/>
          <w:szCs w:val="24"/>
        </w:rPr>
      </w:pPr>
      <w:r>
        <w:rPr>
          <w:sz w:val="24"/>
          <w:szCs w:val="24"/>
        </w:rPr>
        <w:t>Overhead Financial Services</w:t>
      </w:r>
    </w:p>
    <w:p w:rsidR="00F52FC7" w:rsidRDefault="00F52FC7" w:rsidP="00F52FC7">
      <w:pPr>
        <w:pStyle w:val="BodyText"/>
        <w:numPr>
          <w:ilvl w:val="0"/>
          <w:numId w:val="14"/>
        </w:numPr>
        <w:spacing w:line="360" w:lineRule="auto"/>
        <w:rPr>
          <w:sz w:val="24"/>
          <w:szCs w:val="24"/>
        </w:rPr>
      </w:pPr>
      <w:r>
        <w:rPr>
          <w:sz w:val="24"/>
          <w:szCs w:val="24"/>
        </w:rPr>
        <w:t>Legal Services</w:t>
      </w:r>
    </w:p>
    <w:p w:rsidR="00F52FC7" w:rsidRDefault="00F52FC7" w:rsidP="00F52FC7">
      <w:pPr>
        <w:pStyle w:val="BodyText"/>
        <w:numPr>
          <w:ilvl w:val="0"/>
          <w:numId w:val="14"/>
        </w:numPr>
        <w:spacing w:line="360" w:lineRule="auto"/>
        <w:rPr>
          <w:sz w:val="24"/>
          <w:szCs w:val="24"/>
        </w:rPr>
      </w:pPr>
      <w:r>
        <w:rPr>
          <w:sz w:val="24"/>
          <w:szCs w:val="24"/>
        </w:rPr>
        <w:lastRenderedPageBreak/>
        <w:t>Human Resource Services</w:t>
      </w:r>
    </w:p>
    <w:p w:rsidR="00F52FC7" w:rsidRDefault="00F52FC7" w:rsidP="00F52FC7">
      <w:pPr>
        <w:pStyle w:val="BodyText"/>
        <w:numPr>
          <w:ilvl w:val="0"/>
          <w:numId w:val="14"/>
        </w:numPr>
        <w:spacing w:line="360" w:lineRule="auto"/>
        <w:rPr>
          <w:sz w:val="24"/>
          <w:szCs w:val="24"/>
        </w:rPr>
      </w:pPr>
      <w:r>
        <w:rPr>
          <w:sz w:val="24"/>
          <w:szCs w:val="24"/>
        </w:rPr>
        <w:t>Communication and Liaison Services</w:t>
      </w:r>
    </w:p>
    <w:p w:rsidR="00F52FC7" w:rsidRDefault="00F52FC7" w:rsidP="00F52FC7">
      <w:pPr>
        <w:pStyle w:val="BodyText"/>
        <w:numPr>
          <w:ilvl w:val="0"/>
          <w:numId w:val="14"/>
        </w:numPr>
        <w:spacing w:line="360" w:lineRule="auto"/>
        <w:rPr>
          <w:sz w:val="24"/>
          <w:szCs w:val="24"/>
        </w:rPr>
      </w:pPr>
      <w:r>
        <w:rPr>
          <w:sz w:val="24"/>
          <w:szCs w:val="24"/>
        </w:rPr>
        <w:t>Library Services</w:t>
      </w:r>
    </w:p>
    <w:p w:rsidR="00F52FC7" w:rsidRDefault="00F52FC7" w:rsidP="00F52FC7">
      <w:pPr>
        <w:pStyle w:val="BodyText"/>
        <w:numPr>
          <w:ilvl w:val="0"/>
          <w:numId w:val="14"/>
        </w:numPr>
        <w:spacing w:line="360" w:lineRule="auto"/>
        <w:rPr>
          <w:sz w:val="24"/>
          <w:szCs w:val="24"/>
        </w:rPr>
      </w:pPr>
      <w:r>
        <w:rPr>
          <w:sz w:val="24"/>
          <w:szCs w:val="24"/>
        </w:rPr>
        <w:t>International Office</w:t>
      </w:r>
    </w:p>
    <w:p w:rsidR="00F52FC7" w:rsidRDefault="00431AFF" w:rsidP="00F52FC7">
      <w:pPr>
        <w:pStyle w:val="BodyText"/>
        <w:numPr>
          <w:ilvl w:val="0"/>
          <w:numId w:val="14"/>
        </w:numPr>
        <w:spacing w:line="360" w:lineRule="auto"/>
        <w:rPr>
          <w:sz w:val="24"/>
          <w:szCs w:val="24"/>
        </w:rPr>
      </w:pPr>
      <w:r>
        <w:rPr>
          <w:sz w:val="24"/>
          <w:szCs w:val="24"/>
        </w:rPr>
        <w:t xml:space="preserve">Overhead </w:t>
      </w:r>
      <w:r w:rsidR="00F52FC7">
        <w:rPr>
          <w:sz w:val="24"/>
          <w:szCs w:val="24"/>
        </w:rPr>
        <w:t>Research Support Services</w:t>
      </w:r>
    </w:p>
    <w:p w:rsidR="00F52FC7" w:rsidRDefault="00F52FC7" w:rsidP="00F52FC7">
      <w:pPr>
        <w:pStyle w:val="BodyText"/>
        <w:numPr>
          <w:ilvl w:val="0"/>
          <w:numId w:val="14"/>
        </w:numPr>
        <w:spacing w:line="360" w:lineRule="auto"/>
        <w:rPr>
          <w:sz w:val="24"/>
          <w:szCs w:val="24"/>
        </w:rPr>
      </w:pPr>
      <w:r>
        <w:rPr>
          <w:sz w:val="24"/>
          <w:szCs w:val="24"/>
        </w:rPr>
        <w:t>Student Administrative Services</w:t>
      </w:r>
    </w:p>
    <w:p w:rsidR="00F52FC7" w:rsidRDefault="00F52FC7" w:rsidP="00F52FC7">
      <w:pPr>
        <w:pStyle w:val="BodyText"/>
        <w:numPr>
          <w:ilvl w:val="0"/>
          <w:numId w:val="14"/>
        </w:numPr>
        <w:spacing w:line="360" w:lineRule="auto"/>
        <w:rPr>
          <w:sz w:val="24"/>
          <w:szCs w:val="24"/>
        </w:rPr>
      </w:pPr>
      <w:r>
        <w:rPr>
          <w:sz w:val="24"/>
          <w:szCs w:val="24"/>
        </w:rPr>
        <w:t>Banking cost</w:t>
      </w:r>
    </w:p>
    <w:p w:rsidR="00F52FC7" w:rsidRDefault="00F52FC7" w:rsidP="00F52FC7">
      <w:pPr>
        <w:pStyle w:val="BodyText"/>
        <w:numPr>
          <w:ilvl w:val="0"/>
          <w:numId w:val="14"/>
        </w:numPr>
        <w:spacing w:line="360" w:lineRule="auto"/>
        <w:rPr>
          <w:sz w:val="24"/>
          <w:szCs w:val="24"/>
        </w:rPr>
      </w:pPr>
      <w:r>
        <w:rPr>
          <w:sz w:val="24"/>
          <w:szCs w:val="24"/>
        </w:rPr>
        <w:t>Audit fees (</w:t>
      </w:r>
      <w:r w:rsidR="00B95EDC">
        <w:rPr>
          <w:sz w:val="24"/>
          <w:szCs w:val="24"/>
        </w:rPr>
        <w:t>as</w:t>
      </w:r>
      <w:r>
        <w:rPr>
          <w:sz w:val="24"/>
          <w:szCs w:val="24"/>
        </w:rPr>
        <w:t xml:space="preserve"> prescribed by the client)</w:t>
      </w:r>
    </w:p>
    <w:p w:rsidR="00F52FC7" w:rsidRDefault="00F52FC7" w:rsidP="00F52FC7">
      <w:pPr>
        <w:pStyle w:val="BodyText"/>
        <w:numPr>
          <w:ilvl w:val="0"/>
          <w:numId w:val="14"/>
        </w:numPr>
        <w:spacing w:line="360" w:lineRule="auto"/>
        <w:rPr>
          <w:sz w:val="24"/>
          <w:szCs w:val="24"/>
        </w:rPr>
      </w:pPr>
      <w:r>
        <w:rPr>
          <w:sz w:val="24"/>
          <w:szCs w:val="24"/>
        </w:rPr>
        <w:t xml:space="preserve">Liability insurance </w:t>
      </w:r>
    </w:p>
    <w:p w:rsidR="00F52FC7" w:rsidRDefault="00F52FC7" w:rsidP="00F52FC7">
      <w:pPr>
        <w:pStyle w:val="BodyText"/>
        <w:numPr>
          <w:ilvl w:val="0"/>
          <w:numId w:val="14"/>
        </w:numPr>
        <w:spacing w:line="360" w:lineRule="auto"/>
        <w:rPr>
          <w:sz w:val="24"/>
          <w:szCs w:val="24"/>
        </w:rPr>
      </w:pPr>
      <w:r>
        <w:rPr>
          <w:sz w:val="24"/>
          <w:szCs w:val="24"/>
        </w:rPr>
        <w:t xml:space="preserve">Facility Management and Planning Services     </w:t>
      </w:r>
    </w:p>
    <w:p w:rsidR="00F52FC7" w:rsidRDefault="00F52FC7" w:rsidP="00F52FC7">
      <w:pPr>
        <w:pStyle w:val="BodyText"/>
        <w:numPr>
          <w:ilvl w:val="0"/>
          <w:numId w:val="14"/>
        </w:numPr>
        <w:spacing w:line="360" w:lineRule="auto"/>
        <w:rPr>
          <w:sz w:val="24"/>
          <w:szCs w:val="24"/>
        </w:rPr>
      </w:pPr>
      <w:r>
        <w:rPr>
          <w:sz w:val="24"/>
          <w:szCs w:val="24"/>
        </w:rPr>
        <w:t>Maintenance of buildings</w:t>
      </w:r>
    </w:p>
    <w:p w:rsidR="00F52FC7" w:rsidRDefault="00F52FC7" w:rsidP="00F52FC7">
      <w:pPr>
        <w:pStyle w:val="BodyText"/>
        <w:numPr>
          <w:ilvl w:val="0"/>
          <w:numId w:val="14"/>
        </w:numPr>
        <w:spacing w:line="360" w:lineRule="auto"/>
        <w:rPr>
          <w:sz w:val="24"/>
          <w:szCs w:val="24"/>
        </w:rPr>
      </w:pPr>
      <w:r>
        <w:rPr>
          <w:sz w:val="24"/>
          <w:szCs w:val="24"/>
        </w:rPr>
        <w:t>Security Services</w:t>
      </w:r>
    </w:p>
    <w:p w:rsidR="00F52FC7" w:rsidRDefault="00F52FC7" w:rsidP="00F52FC7">
      <w:pPr>
        <w:pStyle w:val="BodyText"/>
        <w:numPr>
          <w:ilvl w:val="0"/>
          <w:numId w:val="14"/>
        </w:numPr>
        <w:spacing w:line="360" w:lineRule="auto"/>
        <w:rPr>
          <w:sz w:val="24"/>
          <w:szCs w:val="24"/>
        </w:rPr>
      </w:pPr>
      <w:r>
        <w:rPr>
          <w:sz w:val="24"/>
          <w:szCs w:val="24"/>
        </w:rPr>
        <w:t>Buildings and content insurance</w:t>
      </w:r>
    </w:p>
    <w:p w:rsidR="00F52FC7" w:rsidRDefault="00F52FC7" w:rsidP="00F52FC7">
      <w:pPr>
        <w:pStyle w:val="BodyText"/>
        <w:numPr>
          <w:ilvl w:val="0"/>
          <w:numId w:val="14"/>
        </w:numPr>
        <w:spacing w:line="360" w:lineRule="auto"/>
        <w:rPr>
          <w:sz w:val="24"/>
          <w:szCs w:val="24"/>
        </w:rPr>
      </w:pPr>
      <w:r>
        <w:rPr>
          <w:sz w:val="24"/>
          <w:szCs w:val="24"/>
        </w:rPr>
        <w:t>Cost of municipal services</w:t>
      </w:r>
    </w:p>
    <w:p w:rsidR="00F52FC7" w:rsidRDefault="00F52FC7" w:rsidP="00F52FC7">
      <w:pPr>
        <w:pStyle w:val="BodyText"/>
        <w:numPr>
          <w:ilvl w:val="0"/>
          <w:numId w:val="14"/>
        </w:numPr>
        <w:spacing w:line="360" w:lineRule="auto"/>
        <w:rPr>
          <w:sz w:val="24"/>
          <w:szCs w:val="24"/>
        </w:rPr>
      </w:pPr>
      <w:r>
        <w:rPr>
          <w:sz w:val="24"/>
          <w:szCs w:val="24"/>
        </w:rPr>
        <w:t xml:space="preserve">Usage of equipment (does not include the use of </w:t>
      </w:r>
      <w:proofErr w:type="spellStart"/>
      <w:r>
        <w:rPr>
          <w:sz w:val="24"/>
          <w:szCs w:val="24"/>
        </w:rPr>
        <w:t>i.a</w:t>
      </w:r>
      <w:proofErr w:type="spellEnd"/>
      <w:r>
        <w:rPr>
          <w:sz w:val="24"/>
          <w:szCs w:val="24"/>
        </w:rPr>
        <w:t>. Central Analytical Facilities)</w:t>
      </w:r>
    </w:p>
    <w:p w:rsidR="00432A52" w:rsidRDefault="00F52FC7" w:rsidP="00F52FC7">
      <w:pPr>
        <w:pStyle w:val="BodyText"/>
        <w:spacing w:line="360" w:lineRule="auto"/>
        <w:ind w:firstLine="0"/>
        <w:rPr>
          <w:sz w:val="24"/>
          <w:szCs w:val="24"/>
        </w:rPr>
      </w:pPr>
      <w:r>
        <w:rPr>
          <w:sz w:val="24"/>
          <w:szCs w:val="24"/>
        </w:rPr>
        <w:t>A set template will be made available by the Divisions Research Development and Finance to assist SU researchers in the calculation of a full cost budget (as prescribed by the relevant Divisions) with a full explanation of costs that should be taken into account for the costing of a research contract on the full cost basis, as well as the calculation of a final contract amount taking into account VAT and any additional cost as determined by the researcher</w:t>
      </w:r>
      <w:r w:rsidR="00432A52">
        <w:rPr>
          <w:sz w:val="24"/>
          <w:szCs w:val="24"/>
        </w:rPr>
        <w:t xml:space="preserve"> or faculty</w:t>
      </w:r>
      <w:r>
        <w:rPr>
          <w:sz w:val="24"/>
          <w:szCs w:val="24"/>
        </w:rPr>
        <w:t>.</w:t>
      </w:r>
    </w:p>
    <w:p w:rsidR="00F52FC7" w:rsidRDefault="00F52FC7" w:rsidP="00F52FC7">
      <w:pPr>
        <w:pStyle w:val="BodyText"/>
        <w:spacing w:line="360" w:lineRule="auto"/>
        <w:ind w:firstLine="0"/>
        <w:rPr>
          <w:sz w:val="24"/>
          <w:szCs w:val="24"/>
        </w:rPr>
      </w:pPr>
      <w:r>
        <w:rPr>
          <w:sz w:val="24"/>
          <w:szCs w:val="24"/>
        </w:rPr>
        <w:t xml:space="preserve">In the event where external parties, according to their own protocol, do not allow SU to impose a </w:t>
      </w:r>
      <w:r w:rsidR="00432A52">
        <w:rPr>
          <w:sz w:val="24"/>
          <w:szCs w:val="24"/>
        </w:rPr>
        <w:t>ICRR</w:t>
      </w:r>
      <w:r>
        <w:rPr>
          <w:sz w:val="24"/>
          <w:szCs w:val="24"/>
        </w:rPr>
        <w:t xml:space="preserve"> or where another percentage is being prescribed by external parties, a request for exemption</w:t>
      </w:r>
      <w:r w:rsidR="00432A52">
        <w:rPr>
          <w:sz w:val="24"/>
          <w:szCs w:val="24"/>
        </w:rPr>
        <w:t xml:space="preserve"> or reduction from the ICRR</w:t>
      </w:r>
      <w:r>
        <w:rPr>
          <w:sz w:val="24"/>
          <w:szCs w:val="24"/>
        </w:rPr>
        <w:t xml:space="preserve"> </w:t>
      </w:r>
      <w:r w:rsidR="00432A52">
        <w:rPr>
          <w:sz w:val="24"/>
          <w:szCs w:val="24"/>
        </w:rPr>
        <w:t>must be submitted as prescribed in the ICRR Policy</w:t>
      </w:r>
      <w:r w:rsidR="00432A52" w:rsidRPr="00432A52">
        <w:t xml:space="preserve"> </w:t>
      </w:r>
      <w:r w:rsidR="00432A52" w:rsidRPr="00432A52">
        <w:rPr>
          <w:sz w:val="24"/>
          <w:szCs w:val="24"/>
        </w:rPr>
        <w:t>with regard to third-stream income.</w:t>
      </w:r>
    </w:p>
    <w:p w:rsidR="00F52FC7" w:rsidRDefault="00F52FC7" w:rsidP="00F52FC7">
      <w:pPr>
        <w:pStyle w:val="BodyText"/>
        <w:spacing w:line="360" w:lineRule="auto"/>
        <w:ind w:firstLine="0"/>
        <w:rPr>
          <w:sz w:val="24"/>
          <w:szCs w:val="24"/>
        </w:rPr>
      </w:pPr>
      <w:r>
        <w:rPr>
          <w:sz w:val="24"/>
          <w:szCs w:val="24"/>
        </w:rPr>
        <w:lastRenderedPageBreak/>
        <w:t>In the event where an external party or the NIMPO requires a certificate that a specific project has been priced on a full cost basis and / or has been completed, SU will request an external audit report. The relevant environment is at liberty to recover the audit cost from the external party as part of the full cost calculation.</w:t>
      </w:r>
    </w:p>
    <w:p w:rsidR="00432A52" w:rsidRDefault="00432A52" w:rsidP="00F52FC7">
      <w:pPr>
        <w:pStyle w:val="BodyText"/>
        <w:spacing w:line="360" w:lineRule="auto"/>
        <w:ind w:firstLine="0"/>
        <w:rPr>
          <w:sz w:val="24"/>
          <w:szCs w:val="24"/>
        </w:rPr>
      </w:pPr>
    </w:p>
    <w:p w:rsidR="00F52FC7" w:rsidRPr="00405057" w:rsidRDefault="00F52FC7" w:rsidP="00F52FC7">
      <w:pPr>
        <w:pStyle w:val="Heading1"/>
        <w:spacing w:line="360" w:lineRule="auto"/>
        <w:jc w:val="left"/>
        <w:rPr>
          <w:sz w:val="24"/>
          <w:szCs w:val="24"/>
        </w:rPr>
      </w:pPr>
      <w:r>
        <w:rPr>
          <w:sz w:val="24"/>
          <w:szCs w:val="24"/>
        </w:rPr>
        <w:t>4</w:t>
      </w:r>
      <w:r>
        <w:rPr>
          <w:sz w:val="24"/>
          <w:szCs w:val="24"/>
        </w:rPr>
        <w:tab/>
      </w:r>
      <w:r w:rsidRPr="00405057">
        <w:rPr>
          <w:sz w:val="24"/>
          <w:szCs w:val="24"/>
        </w:rPr>
        <w:t>DEFINITIONS</w:t>
      </w:r>
    </w:p>
    <w:p w:rsidR="00F52FC7" w:rsidRPr="00405057" w:rsidRDefault="00F52FC7" w:rsidP="00F52FC7">
      <w:pPr>
        <w:pStyle w:val="BodyText"/>
        <w:spacing w:line="360" w:lineRule="auto"/>
        <w:ind w:firstLine="0"/>
        <w:rPr>
          <w:b/>
        </w:rPr>
      </w:pPr>
      <w:r>
        <w:rPr>
          <w:b/>
        </w:rPr>
        <w:t>4.1 FULL COST</w:t>
      </w:r>
    </w:p>
    <w:p w:rsidR="00F52FC7" w:rsidRPr="00405057" w:rsidRDefault="00F52FC7" w:rsidP="00F52FC7">
      <w:pPr>
        <w:pStyle w:val="BodyText"/>
        <w:spacing w:line="360" w:lineRule="auto"/>
        <w:ind w:firstLine="0"/>
        <w:rPr>
          <w:sz w:val="24"/>
        </w:rPr>
      </w:pPr>
      <w:r w:rsidRPr="00405057">
        <w:rPr>
          <w:sz w:val="24"/>
        </w:rPr>
        <w:t xml:space="preserve">The total cost of all resources used to complete the project, as determined in accordance with the </w:t>
      </w:r>
      <w:r w:rsidR="0073005F">
        <w:rPr>
          <w:sz w:val="24"/>
        </w:rPr>
        <w:t>I</w:t>
      </w:r>
      <w:r w:rsidR="0073005F" w:rsidRPr="00405057">
        <w:rPr>
          <w:sz w:val="24"/>
        </w:rPr>
        <w:t xml:space="preserve">nternational </w:t>
      </w:r>
      <w:r w:rsidR="0073005F">
        <w:rPr>
          <w:sz w:val="24"/>
        </w:rPr>
        <w:t>F</w:t>
      </w:r>
      <w:r w:rsidR="0073005F" w:rsidRPr="00405057">
        <w:rPr>
          <w:sz w:val="24"/>
        </w:rPr>
        <w:t xml:space="preserve">inancial </w:t>
      </w:r>
      <w:r w:rsidR="0073005F">
        <w:rPr>
          <w:sz w:val="24"/>
        </w:rPr>
        <w:t>R</w:t>
      </w:r>
      <w:r w:rsidR="0073005F" w:rsidRPr="00405057">
        <w:rPr>
          <w:sz w:val="24"/>
        </w:rPr>
        <w:t xml:space="preserve">eporting </w:t>
      </w:r>
      <w:r w:rsidR="0073005F">
        <w:rPr>
          <w:sz w:val="24"/>
        </w:rPr>
        <w:t>S</w:t>
      </w:r>
      <w:r w:rsidR="0073005F" w:rsidRPr="00405057">
        <w:rPr>
          <w:sz w:val="24"/>
        </w:rPr>
        <w:t>tand</w:t>
      </w:r>
      <w:bookmarkStart w:id="0" w:name="_GoBack"/>
      <w:bookmarkEnd w:id="0"/>
      <w:r w:rsidR="0073005F" w:rsidRPr="00405057">
        <w:rPr>
          <w:sz w:val="24"/>
        </w:rPr>
        <w:t xml:space="preserve">ards </w:t>
      </w:r>
      <w:r w:rsidRPr="00405057">
        <w:rPr>
          <w:sz w:val="24"/>
        </w:rPr>
        <w:t>(IFRS) and it therefore includes all applicable direct and indirect cost as prescribed.</w:t>
      </w:r>
    </w:p>
    <w:p w:rsidR="00F52FC7" w:rsidRPr="00405057" w:rsidRDefault="00F52FC7" w:rsidP="00F52FC7">
      <w:pPr>
        <w:pStyle w:val="BodyText"/>
        <w:spacing w:line="360" w:lineRule="auto"/>
        <w:ind w:firstLine="0"/>
        <w:rPr>
          <w:b/>
          <w:sz w:val="24"/>
        </w:rPr>
      </w:pPr>
      <w:r>
        <w:rPr>
          <w:b/>
          <w:sz w:val="24"/>
        </w:rPr>
        <w:t xml:space="preserve">4.2 </w:t>
      </w:r>
      <w:r w:rsidRPr="00405057">
        <w:rPr>
          <w:b/>
          <w:sz w:val="24"/>
        </w:rPr>
        <w:t>DIRECT COST</w:t>
      </w:r>
    </w:p>
    <w:p w:rsidR="00F52FC7" w:rsidRDefault="00F52FC7" w:rsidP="00F52FC7">
      <w:pPr>
        <w:pStyle w:val="BodyText"/>
        <w:spacing w:line="360" w:lineRule="auto"/>
        <w:ind w:firstLine="0"/>
        <w:rPr>
          <w:sz w:val="24"/>
          <w:szCs w:val="24"/>
        </w:rPr>
      </w:pPr>
      <w:r>
        <w:rPr>
          <w:sz w:val="24"/>
          <w:szCs w:val="24"/>
        </w:rPr>
        <w:t>Direct cost is al</w:t>
      </w:r>
      <w:r w:rsidR="004C0BE6">
        <w:rPr>
          <w:sz w:val="24"/>
          <w:szCs w:val="24"/>
        </w:rPr>
        <w:t>l</w:t>
      </w:r>
      <w:r>
        <w:rPr>
          <w:sz w:val="24"/>
          <w:szCs w:val="24"/>
        </w:rPr>
        <w:t xml:space="preserve"> those costs which can be </w:t>
      </w:r>
      <w:r w:rsidR="004C0BE6">
        <w:rPr>
          <w:sz w:val="24"/>
          <w:szCs w:val="24"/>
        </w:rPr>
        <w:t xml:space="preserve">directly </w:t>
      </w:r>
      <w:r>
        <w:rPr>
          <w:sz w:val="24"/>
          <w:szCs w:val="24"/>
        </w:rPr>
        <w:t xml:space="preserve">ascribed to the project. </w:t>
      </w:r>
    </w:p>
    <w:p w:rsidR="00F52FC7" w:rsidRPr="00405057" w:rsidRDefault="00F52FC7" w:rsidP="00F52FC7">
      <w:pPr>
        <w:pStyle w:val="BodyText"/>
        <w:spacing w:line="360" w:lineRule="auto"/>
        <w:ind w:firstLine="0"/>
        <w:rPr>
          <w:b/>
          <w:sz w:val="24"/>
        </w:rPr>
      </w:pPr>
      <w:r>
        <w:rPr>
          <w:b/>
          <w:sz w:val="24"/>
        </w:rPr>
        <w:t xml:space="preserve">4.3 </w:t>
      </w:r>
      <w:r w:rsidRPr="00405057">
        <w:rPr>
          <w:b/>
          <w:sz w:val="24"/>
        </w:rPr>
        <w:t>INDIRECT COST</w:t>
      </w:r>
    </w:p>
    <w:p w:rsidR="00F52FC7" w:rsidRDefault="00F52FC7" w:rsidP="00F52FC7">
      <w:pPr>
        <w:pStyle w:val="BodyText"/>
        <w:spacing w:line="360" w:lineRule="auto"/>
        <w:ind w:firstLine="0"/>
        <w:rPr>
          <w:sz w:val="24"/>
          <w:szCs w:val="24"/>
        </w:rPr>
      </w:pPr>
      <w:r>
        <w:rPr>
          <w:sz w:val="24"/>
          <w:szCs w:val="24"/>
        </w:rPr>
        <w:t>Indirect or overhead cost is th</w:t>
      </w:r>
      <w:r w:rsidR="004C0BE6">
        <w:rPr>
          <w:sz w:val="24"/>
          <w:szCs w:val="24"/>
        </w:rPr>
        <w:t>e</w:t>
      </w:r>
      <w:r>
        <w:rPr>
          <w:sz w:val="24"/>
          <w:szCs w:val="24"/>
        </w:rPr>
        <w:t xml:space="preserve"> expenses incurred by SU</w:t>
      </w:r>
      <w:r w:rsidR="004C0BE6">
        <w:rPr>
          <w:sz w:val="24"/>
          <w:szCs w:val="24"/>
        </w:rPr>
        <w:t>,</w:t>
      </w:r>
      <w:r>
        <w:rPr>
          <w:sz w:val="24"/>
          <w:szCs w:val="24"/>
        </w:rPr>
        <w:t xml:space="preserve"> and is essential to provide the necessary support in order to successfully manage and deliver the project.</w:t>
      </w:r>
    </w:p>
    <w:p w:rsidR="00F52FC7" w:rsidRPr="00A302A8" w:rsidRDefault="00F52FC7" w:rsidP="00F52FC7">
      <w:pPr>
        <w:pStyle w:val="BodyText"/>
        <w:spacing w:line="360" w:lineRule="auto"/>
        <w:ind w:firstLine="0"/>
        <w:rPr>
          <w:b/>
          <w:sz w:val="24"/>
        </w:rPr>
      </w:pPr>
      <w:r>
        <w:rPr>
          <w:b/>
          <w:sz w:val="24"/>
        </w:rPr>
        <w:t xml:space="preserve">4.4 </w:t>
      </w:r>
      <w:r w:rsidRPr="00A302A8">
        <w:rPr>
          <w:b/>
          <w:sz w:val="24"/>
        </w:rPr>
        <w:t>COSTING</w:t>
      </w:r>
    </w:p>
    <w:p w:rsidR="00F52FC7" w:rsidRPr="00D27BCE" w:rsidRDefault="00F52FC7" w:rsidP="00F52FC7">
      <w:pPr>
        <w:pStyle w:val="BodyText"/>
        <w:spacing w:line="360" w:lineRule="auto"/>
        <w:ind w:firstLine="0"/>
        <w:rPr>
          <w:sz w:val="24"/>
        </w:rPr>
      </w:pPr>
      <w:r w:rsidRPr="00D27BCE">
        <w:rPr>
          <w:sz w:val="24"/>
        </w:rPr>
        <w:t xml:space="preserve">Costing </w:t>
      </w:r>
      <w:r w:rsidR="004C0BE6">
        <w:rPr>
          <w:sz w:val="24"/>
        </w:rPr>
        <w:t>entails</w:t>
      </w:r>
      <w:r w:rsidRPr="00D27BCE">
        <w:rPr>
          <w:sz w:val="24"/>
        </w:rPr>
        <w:t xml:space="preserve"> the calculation of the Full Cost of a project.</w:t>
      </w:r>
    </w:p>
    <w:p w:rsidR="00F52FC7" w:rsidRPr="00A302A8" w:rsidRDefault="00F52FC7" w:rsidP="00F52FC7">
      <w:pPr>
        <w:pStyle w:val="BodyText"/>
        <w:spacing w:line="360" w:lineRule="auto"/>
        <w:ind w:firstLine="0"/>
        <w:rPr>
          <w:b/>
          <w:sz w:val="24"/>
        </w:rPr>
      </w:pPr>
      <w:r>
        <w:rPr>
          <w:b/>
          <w:sz w:val="24"/>
        </w:rPr>
        <w:t xml:space="preserve">4.5 </w:t>
      </w:r>
      <w:r w:rsidRPr="009A3602">
        <w:rPr>
          <w:b/>
          <w:sz w:val="24"/>
        </w:rPr>
        <w:t>ESTIMATION OF PRICE</w:t>
      </w:r>
    </w:p>
    <w:p w:rsidR="00F52FC7" w:rsidRDefault="00F52FC7" w:rsidP="00F52FC7">
      <w:pPr>
        <w:pStyle w:val="BodyText"/>
        <w:spacing w:line="360" w:lineRule="auto"/>
        <w:ind w:firstLine="0"/>
        <w:rPr>
          <w:sz w:val="24"/>
        </w:rPr>
      </w:pPr>
      <w:r>
        <w:rPr>
          <w:sz w:val="24"/>
        </w:rPr>
        <w:t xml:space="preserve">Estimation of price </w:t>
      </w:r>
      <w:r w:rsidR="004C0BE6">
        <w:rPr>
          <w:sz w:val="24"/>
        </w:rPr>
        <w:t>entails</w:t>
      </w:r>
      <w:r>
        <w:rPr>
          <w:sz w:val="24"/>
        </w:rPr>
        <w:t xml:space="preserve"> the discretionary inclusion or exclusion of profit margins, additional to the Full Cost of a project.</w:t>
      </w:r>
    </w:p>
    <w:sectPr w:rsidR="00F52FC7" w:rsidSect="00F52FC7">
      <w:headerReference w:type="even" r:id="rId9"/>
      <w:headerReference w:type="default" r:id="rId10"/>
      <w:footerReference w:type="even" r:id="rId11"/>
      <w:footerReference w:type="default" r:id="rId12"/>
      <w:headerReference w:type="first" r:id="rId13"/>
      <w:type w:val="continuous"/>
      <w:pgSz w:w="11907" w:h="16839" w:code="9"/>
      <w:pgMar w:top="1440" w:right="1417" w:bottom="1440" w:left="1418" w:header="720" w:footer="96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64" w:rsidRDefault="00FE2364">
      <w:r>
        <w:separator/>
      </w:r>
    </w:p>
  </w:endnote>
  <w:endnote w:type="continuationSeparator" w:id="0">
    <w:p w:rsidR="00FE2364" w:rsidRDefault="00F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54" w:rsidRDefault="00901054" w:rsidP="00F52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4BA">
      <w:rPr>
        <w:rStyle w:val="PageNumber"/>
        <w:noProof/>
      </w:rPr>
      <w:t>6</w:t>
    </w:r>
    <w:r>
      <w:rPr>
        <w:rStyle w:val="PageNumber"/>
      </w:rPr>
      <w:fldChar w:fldCharType="end"/>
    </w:r>
  </w:p>
  <w:p w:rsidR="00901054" w:rsidRDefault="00901054" w:rsidP="00F52FC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54" w:rsidRDefault="00901054" w:rsidP="00F52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4BA">
      <w:rPr>
        <w:rStyle w:val="PageNumber"/>
        <w:noProof/>
      </w:rPr>
      <w:t>5</w:t>
    </w:r>
    <w:r>
      <w:rPr>
        <w:rStyle w:val="PageNumber"/>
      </w:rPr>
      <w:fldChar w:fldCharType="end"/>
    </w:r>
  </w:p>
  <w:p w:rsidR="00901054" w:rsidRPr="00D45BA9" w:rsidRDefault="00901054" w:rsidP="00D45BA9">
    <w:pPr>
      <w:pStyle w:val="Footer"/>
      <w:tabs>
        <w:tab w:val="clear" w:pos="4320"/>
        <w:tab w:val="clear" w:pos="9480"/>
        <w:tab w:val="left" w:pos="256"/>
      </w:tabs>
      <w:ind w:left="360" w:right="360" w:hanging="250"/>
      <w:jc w:val="left"/>
      <w:rPr>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64" w:rsidRDefault="00FE2364">
      <w:r>
        <w:separator/>
      </w:r>
    </w:p>
  </w:footnote>
  <w:footnote w:type="continuationSeparator" w:id="0">
    <w:p w:rsidR="00FE2364" w:rsidRDefault="00FE2364">
      <w:r>
        <w:separator/>
      </w:r>
    </w:p>
  </w:footnote>
  <w:footnote w:type="continuationNotice" w:id="1">
    <w:p w:rsidR="00FE2364" w:rsidRDefault="00FE2364">
      <w:pPr>
        <w:rPr>
          <w:i/>
          <w:sz w:val="18"/>
        </w:rPr>
      </w:pPr>
      <w:r>
        <w:rPr>
          <w:i/>
          <w:sz w:val="18"/>
        </w:rPr>
        <w:t>(</w:t>
      </w:r>
      <w:proofErr w:type="gramStart"/>
      <w:r>
        <w:rPr>
          <w:i/>
          <w:sz w:val="18"/>
        </w:rPr>
        <w:t>footnote</w:t>
      </w:r>
      <w:proofErr w:type="gramEnd"/>
      <w:r>
        <w:rPr>
          <w:i/>
          <w:sz w:val="18"/>
        </w:rPr>
        <w:t xml:space="preserve"> continued)</w:t>
      </w:r>
    </w:p>
  </w:footnote>
  <w:footnote w:id="2">
    <w:p w:rsidR="00B00AD4" w:rsidRDefault="00B00AD4" w:rsidP="00B00AD4">
      <w:pPr>
        <w:pStyle w:val="FootnoteText"/>
      </w:pPr>
      <w:r>
        <w:rPr>
          <w:rStyle w:val="FootnoteReference"/>
        </w:rPr>
        <w:footnoteRef/>
      </w:r>
      <w:r>
        <w:t xml:space="preserve"> The </w:t>
      </w:r>
      <w:r w:rsidR="00006DDA">
        <w:t>Vice-Rector: Research and Innovation</w:t>
      </w:r>
      <w:r>
        <w:t xml:space="preserve"> will initially accept </w:t>
      </w:r>
      <w:proofErr w:type="spellStart"/>
      <w:r>
        <w:t>responsibilty</w:t>
      </w:r>
      <w:proofErr w:type="spellEnd"/>
      <w:r>
        <w:t xml:space="preserve"> as policy owner at the institutional level</w:t>
      </w:r>
      <w:r w:rsidRPr="0003261E">
        <w:rPr>
          <w:lang w:val="en-GB"/>
        </w:rPr>
        <w:t>.</w:t>
      </w:r>
    </w:p>
  </w:footnote>
  <w:footnote w:id="3">
    <w:p w:rsidR="00457B0B" w:rsidRPr="00457B0B" w:rsidRDefault="00457B0B" w:rsidP="00457B0B">
      <w:pPr>
        <w:pStyle w:val="BodyText"/>
        <w:spacing w:line="360" w:lineRule="auto"/>
        <w:ind w:firstLine="0"/>
        <w:rPr>
          <w:b/>
          <w:bCs/>
          <w:sz w:val="18"/>
          <w:szCs w:val="18"/>
        </w:rPr>
      </w:pPr>
      <w:r w:rsidRPr="00457B0B">
        <w:rPr>
          <w:rStyle w:val="FootnoteReference"/>
          <w:sz w:val="18"/>
          <w:szCs w:val="18"/>
        </w:rPr>
        <w:footnoteRef/>
      </w:r>
      <w:r w:rsidRPr="00457B0B">
        <w:rPr>
          <w:sz w:val="18"/>
          <w:szCs w:val="18"/>
        </w:rPr>
        <w:t xml:space="preserve"> National Intellectual Property Management Office, regarding Intellectual Property Rights from Publicly Financed Research and Development Act (IPR Act), No. 51 of 2008.</w:t>
      </w:r>
    </w:p>
    <w:p w:rsidR="00457B0B" w:rsidRPr="00692E14" w:rsidRDefault="00457B0B" w:rsidP="00457B0B">
      <w:pPr>
        <w:pStyle w:val="FootnoteText"/>
        <w:rPr>
          <w:lang w:val="nl-NL"/>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54" w:rsidRDefault="00901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54" w:rsidRDefault="00901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54" w:rsidRDefault="00901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13B378F8"/>
    <w:multiLevelType w:val="multilevel"/>
    <w:tmpl w:val="2BD8430C"/>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8D1A2B"/>
    <w:multiLevelType w:val="hybridMultilevel"/>
    <w:tmpl w:val="27FC4D5C"/>
    <w:lvl w:ilvl="0" w:tplc="2698173E">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9454EA"/>
    <w:multiLevelType w:val="singleLevel"/>
    <w:tmpl w:val="B2028EE8"/>
    <w:lvl w:ilvl="0">
      <w:start w:val="1"/>
      <w:numFmt w:val="decimal"/>
      <w:lvlText w:val="%1."/>
      <w:legacy w:legacy="1" w:legacySpace="0" w:legacyIndent="360"/>
      <w:lvlJc w:val="left"/>
      <w:pPr>
        <w:ind w:left="1440" w:hanging="360"/>
      </w:pPr>
    </w:lvl>
  </w:abstractNum>
  <w:abstractNum w:abstractNumId="5">
    <w:nsid w:val="213765C5"/>
    <w:multiLevelType w:val="hybridMultilevel"/>
    <w:tmpl w:val="14A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72715"/>
    <w:multiLevelType w:val="hybridMultilevel"/>
    <w:tmpl w:val="2BD8430C"/>
    <w:lvl w:ilvl="0" w:tplc="A19EAD8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8F1396"/>
    <w:multiLevelType w:val="hybridMultilevel"/>
    <w:tmpl w:val="6A0CECD2"/>
    <w:lvl w:ilvl="0" w:tplc="38FA5384">
      <w:start w:val="3"/>
      <w:numFmt w:val="bullet"/>
      <w:lvlText w:val="-"/>
      <w:lvlJc w:val="left"/>
      <w:pPr>
        <w:tabs>
          <w:tab w:val="num" w:pos="690"/>
        </w:tabs>
        <w:ind w:left="690" w:hanging="360"/>
      </w:pPr>
      <w:rPr>
        <w:rFonts w:ascii="Garamond" w:eastAsia="Times New Roman" w:hAnsi="Garamond" w:cs="Times New Roman" w:hint="default"/>
      </w:rPr>
    </w:lvl>
    <w:lvl w:ilvl="1" w:tplc="04090003" w:tentative="1">
      <w:start w:val="1"/>
      <w:numFmt w:val="bullet"/>
      <w:lvlText w:val="o"/>
      <w:lvlJc w:val="left"/>
      <w:pPr>
        <w:tabs>
          <w:tab w:val="num" w:pos="1410"/>
        </w:tabs>
        <w:ind w:left="1410" w:hanging="360"/>
      </w:pPr>
      <w:rPr>
        <w:rFonts w:ascii="Courier New" w:hAnsi="Courier New" w:cs="Wingdings"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Wingdings"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Wingdings"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8">
    <w:nsid w:val="31B7746F"/>
    <w:multiLevelType w:val="multilevel"/>
    <w:tmpl w:val="D0B6775C"/>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0690766"/>
    <w:multiLevelType w:val="singleLevel"/>
    <w:tmpl w:val="EBF48F90"/>
    <w:lvl w:ilvl="0">
      <w:start w:val="1"/>
      <w:numFmt w:val="decimal"/>
      <w:lvlText w:val="%1."/>
      <w:legacy w:legacy="1" w:legacySpace="0" w:legacyIndent="360"/>
      <w:lvlJc w:val="left"/>
      <w:pPr>
        <w:ind w:left="1440" w:hanging="360"/>
      </w:pPr>
    </w:lvl>
  </w:abstractNum>
  <w:abstractNum w:abstractNumId="10">
    <w:nsid w:val="5EC629B3"/>
    <w:multiLevelType w:val="singleLevel"/>
    <w:tmpl w:val="C8727A20"/>
    <w:lvl w:ilvl="0">
      <w:start w:val="1"/>
      <w:numFmt w:val="decimal"/>
      <w:lvlText w:val="%1)"/>
      <w:legacy w:legacy="1" w:legacySpace="0" w:legacyIndent="360"/>
      <w:lvlJc w:val="left"/>
      <w:pPr>
        <w:ind w:left="720" w:hanging="360"/>
      </w:pPr>
    </w:lvl>
  </w:abstractNum>
  <w:abstractNum w:abstractNumId="11">
    <w:nsid w:val="6DDE2F6B"/>
    <w:multiLevelType w:val="hybridMultilevel"/>
    <w:tmpl w:val="D0B6775C"/>
    <w:lvl w:ilvl="0" w:tplc="286895D8">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10"/>
  </w:num>
  <w:num w:numId="4">
    <w:abstractNumId w:val="9"/>
  </w:num>
  <w:num w:numId="5">
    <w:abstractNumId w:val="9"/>
    <w:lvlOverride w:ilvl="0">
      <w:lvl w:ilvl="0">
        <w:start w:val="1"/>
        <w:numFmt w:val="decimal"/>
        <w:lvlText w:val="%1."/>
        <w:legacy w:legacy="1" w:legacySpace="0" w:legacyIndent="360"/>
        <w:lvlJc w:val="left"/>
        <w:pPr>
          <w:ind w:left="1440" w:hanging="360"/>
        </w:pPr>
      </w:lvl>
    </w:lvlOverride>
  </w:num>
  <w:num w:numId="6">
    <w:abstractNumId w:val="4"/>
  </w:num>
  <w:num w:numId="7">
    <w:abstractNumId w:val="4"/>
    <w:lvlOverride w:ilvl="0">
      <w:lvl w:ilvl="0">
        <w:start w:val="1"/>
        <w:numFmt w:val="decimal"/>
        <w:lvlText w:val="%1."/>
        <w:legacy w:legacy="1" w:legacySpace="0" w:legacyIndent="360"/>
        <w:lvlJc w:val="left"/>
        <w:pPr>
          <w:ind w:left="1440" w:hanging="360"/>
        </w:pPr>
      </w:lvl>
    </w:lvlOverride>
  </w:num>
  <w:num w:numId="8">
    <w:abstractNumId w:val="11"/>
  </w:num>
  <w:num w:numId="9">
    <w:abstractNumId w:val="8"/>
  </w:num>
  <w:num w:numId="10">
    <w:abstractNumId w:val="6"/>
  </w:num>
  <w:num w:numId="11">
    <w:abstractNumId w:val="2"/>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FF"/>
    <w:rsid w:val="00006DDA"/>
    <w:rsid w:val="00085283"/>
    <w:rsid w:val="000B0D99"/>
    <w:rsid w:val="000D7A54"/>
    <w:rsid w:val="000E1E3A"/>
    <w:rsid w:val="001A64C4"/>
    <w:rsid w:val="00431AFF"/>
    <w:rsid w:val="00432A52"/>
    <w:rsid w:val="00457B0B"/>
    <w:rsid w:val="00495903"/>
    <w:rsid w:val="004C0BE6"/>
    <w:rsid w:val="006060E2"/>
    <w:rsid w:val="006509BA"/>
    <w:rsid w:val="00652537"/>
    <w:rsid w:val="006E5358"/>
    <w:rsid w:val="00714F2B"/>
    <w:rsid w:val="007252D9"/>
    <w:rsid w:val="0073005F"/>
    <w:rsid w:val="008B0CC8"/>
    <w:rsid w:val="008F3F90"/>
    <w:rsid w:val="00901054"/>
    <w:rsid w:val="00AB0C6C"/>
    <w:rsid w:val="00B00AD4"/>
    <w:rsid w:val="00B5784E"/>
    <w:rsid w:val="00B95EDC"/>
    <w:rsid w:val="00BF3344"/>
    <w:rsid w:val="00C21361"/>
    <w:rsid w:val="00C2137A"/>
    <w:rsid w:val="00D07E2E"/>
    <w:rsid w:val="00D226E1"/>
    <w:rsid w:val="00D334BA"/>
    <w:rsid w:val="00D45BA9"/>
    <w:rsid w:val="00D62B3B"/>
    <w:rsid w:val="00DE37FA"/>
    <w:rsid w:val="00DF54FF"/>
    <w:rsid w:val="00E54EBA"/>
    <w:rsid w:val="00EF5B61"/>
    <w:rsid w:val="00F52FC7"/>
    <w:rsid w:val="00FE23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lang w:eastAsia="en-US"/>
    </w:rPr>
  </w:style>
  <w:style w:type="paragraph" w:styleId="Heading1">
    <w:name w:val="heading 1"/>
    <w:basedOn w:val="HeadingBase"/>
    <w:next w:val="BodyText"/>
    <w:qFormat/>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pPr>
      <w:spacing w:after="180"/>
      <w:jc w:val="center"/>
      <w:outlineLvl w:val="1"/>
    </w:pPr>
    <w:rPr>
      <w:b/>
      <w:caps/>
      <w:spacing w:val="10"/>
      <w:sz w:val="18"/>
    </w:rPr>
  </w:style>
  <w:style w:type="paragraph" w:styleId="Heading3">
    <w:name w:val="heading 3"/>
    <w:basedOn w:val="HeadingBase"/>
    <w:next w:val="BodyText"/>
    <w:qFormat/>
    <w:pPr>
      <w:spacing w:before="240" w:after="180"/>
      <w:outlineLvl w:val="2"/>
    </w:pPr>
    <w:rPr>
      <w:caps/>
      <w:sz w:val="20"/>
    </w:rPr>
  </w:style>
  <w:style w:type="paragraph" w:styleId="Heading4">
    <w:name w:val="heading 4"/>
    <w:basedOn w:val="HeadingBase"/>
    <w:next w:val="BodyText"/>
    <w:qFormat/>
    <w:pPr>
      <w:spacing w:before="240" w:after="240"/>
      <w:ind w:left="360"/>
      <w:outlineLvl w:val="3"/>
    </w:pPr>
    <w:rPr>
      <w:i/>
      <w:spacing w:val="5"/>
      <w:sz w:val="24"/>
    </w:rPr>
  </w:style>
  <w:style w:type="paragraph" w:styleId="Heading5">
    <w:name w:val="heading 5"/>
    <w:basedOn w:val="HeadingBase"/>
    <w:next w:val="BodyText"/>
    <w:qFormat/>
    <w:pPr>
      <w:outlineLvl w:val="4"/>
    </w:pPr>
    <w:rPr>
      <w:b/>
    </w:rPr>
  </w:style>
  <w:style w:type="paragraph" w:styleId="Heading6">
    <w:name w:val="heading 6"/>
    <w:basedOn w:val="HeadingBase"/>
    <w:next w:val="BodyText"/>
    <w:qFormat/>
    <w:pPr>
      <w:outlineLvl w:val="5"/>
    </w:pPr>
    <w:rPr>
      <w:i/>
      <w:spacing w:val="5"/>
    </w:rPr>
  </w:style>
  <w:style w:type="paragraph" w:styleId="Heading7">
    <w:name w:val="heading 7"/>
    <w:basedOn w:val="HeadingBase"/>
    <w:next w:val="BodyText"/>
    <w:qFormat/>
    <w:pPr>
      <w:outlineLvl w:val="6"/>
    </w:pPr>
    <w:rPr>
      <w:caps/>
      <w:sz w:val="18"/>
    </w:rPr>
  </w:style>
  <w:style w:type="paragraph" w:styleId="Heading8">
    <w:name w:val="heading 8"/>
    <w:basedOn w:val="HeadingBase"/>
    <w:next w:val="BodyText"/>
    <w:qFormat/>
    <w:pPr>
      <w:ind w:firstLine="360"/>
      <w:outlineLvl w:val="7"/>
    </w:pPr>
    <w:rPr>
      <w:i/>
      <w:spacing w:val="5"/>
    </w:rPr>
  </w:style>
  <w:style w:type="paragraph" w:styleId="Heading9">
    <w:name w:val="heading 9"/>
    <w:basedOn w:val="HeadingBase"/>
    <w:next w:val="BodyText"/>
    <w:qFormat/>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ind w:firstLine="0"/>
      <w:jc w:val="left"/>
    </w:pPr>
    <w:rPr>
      <w:kern w:val="20"/>
    </w:rPr>
  </w:style>
  <w:style w:type="paragraph" w:styleId="BodyText">
    <w:name w:val="Body Text"/>
    <w:basedOn w:val="Normal"/>
    <w:pPr>
      <w:spacing w:after="240" w:line="240" w:lineRule="atLeast"/>
      <w:ind w:firstLine="360"/>
      <w:jc w:val="both"/>
    </w:pPr>
  </w:style>
  <w:style w:type="paragraph" w:customStyle="1" w:styleId="FootnoteBase">
    <w:name w:val="Footnote Base"/>
    <w:basedOn w:val="BodyText"/>
    <w:pPr>
      <w:keepLines/>
      <w:spacing w:line="200" w:lineRule="atLeast"/>
      <w:ind w:firstLine="0"/>
    </w:pPr>
    <w:rPr>
      <w:sz w:val="18"/>
    </w:rPr>
  </w:style>
  <w:style w:type="paragraph" w:customStyle="1" w:styleId="BlockQuotation">
    <w:name w:val="Block Quotation"/>
    <w:basedOn w:val="BodyText"/>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40" w:line="200" w:lineRule="atLeast"/>
      <w:ind w:left="1920" w:hanging="120"/>
    </w:pPr>
    <w:rPr>
      <w:i/>
      <w:spacing w:val="5"/>
      <w:sz w:val="20"/>
    </w:rPr>
  </w:style>
  <w:style w:type="paragraph" w:customStyle="1" w:styleId="Picture">
    <w:name w:val="Picture"/>
    <w:basedOn w:val="Normal"/>
    <w:next w:val="Caption"/>
    <w:pPr>
      <w:keepNext/>
    </w:pPr>
  </w:style>
  <w:style w:type="paragraph" w:customStyle="1" w:styleId="DocumentLabel">
    <w:name w:val="Document Label"/>
    <w:next w:val="Normal"/>
    <w:pPr>
      <w:pBdr>
        <w:top w:val="single" w:sz="6" w:space="6" w:color="808080"/>
        <w:bottom w:val="single" w:sz="6" w:space="6" w:color="808080"/>
      </w:pBdr>
      <w:spacing w:line="240" w:lineRule="atLeast"/>
      <w:jc w:val="center"/>
    </w:pPr>
    <w:rPr>
      <w:rFonts w:ascii="Garamond" w:hAnsi="Garamond"/>
      <w:b/>
      <w:caps/>
      <w:spacing w:val="40"/>
      <w:sz w:val="18"/>
      <w:lang w:val="en-US" w:eastAsia="en-US"/>
    </w:rPr>
  </w:style>
  <w:style w:type="character" w:styleId="EndnoteReference">
    <w:name w:val="endnote reference"/>
    <w:semiHidden/>
    <w:rPr>
      <w:vertAlign w:val="superscript"/>
    </w:rPr>
  </w:style>
  <w:style w:type="paragraph" w:styleId="EndnoteText">
    <w:name w:val="endnote text"/>
    <w:basedOn w:val="FootnoteBase"/>
    <w:semiHidden/>
  </w:style>
  <w:style w:type="paragraph" w:styleId="Footer">
    <w:name w:val="footer"/>
    <w:basedOn w:val="HeaderBase"/>
    <w:pPr>
      <w:tabs>
        <w:tab w:val="clear" w:pos="8640"/>
        <w:tab w:val="right" w:pos="9480"/>
      </w:tabs>
      <w:spacing w:before="600"/>
      <w:ind w:left="-840" w:right="-840"/>
    </w:pPr>
    <w:rPr>
      <w:sz w:val="24"/>
    </w:rPr>
  </w:style>
  <w:style w:type="paragraph" w:customStyle="1" w:styleId="HeaderBase">
    <w:name w:val="Header Base"/>
    <w:basedOn w:val="BodyText"/>
    <w:pPr>
      <w:keepLines/>
      <w:tabs>
        <w:tab w:val="center" w:pos="4320"/>
        <w:tab w:val="right" w:pos="8640"/>
      </w:tabs>
      <w:spacing w:after="0"/>
      <w:ind w:firstLine="0"/>
      <w:jc w:val="center"/>
    </w:pPr>
    <w:rPr>
      <w:caps/>
      <w:spacing w:val="15"/>
      <w:sz w:val="18"/>
    </w:rPr>
  </w:style>
  <w:style w:type="character" w:styleId="FootnoteReference">
    <w:name w:val="footnote reference"/>
    <w:uiPriority w:val="99"/>
    <w:semiHidden/>
    <w:rPr>
      <w:vertAlign w:val="superscript"/>
    </w:rPr>
  </w:style>
  <w:style w:type="paragraph" w:styleId="FootnoteText">
    <w:name w:val="footnote text"/>
    <w:basedOn w:val="FootnoteBase"/>
    <w:link w:val="FootnoteTextChar"/>
    <w:uiPriority w:val="99"/>
  </w:style>
  <w:style w:type="paragraph" w:styleId="Header">
    <w:name w:val="header"/>
    <w:basedOn w:val="HeaderBase"/>
    <w:pPr>
      <w:spacing w:after="480"/>
    </w:pPr>
  </w:style>
  <w:style w:type="paragraph" w:styleId="Index1">
    <w:name w:val="index 1"/>
    <w:basedOn w:val="IndexBase"/>
    <w:semiHidden/>
    <w:rPr>
      <w:sz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rPr>
  </w:style>
  <w:style w:type="paragraph" w:styleId="Index3">
    <w:name w:val="index 3"/>
    <w:basedOn w:val="IndexBase"/>
    <w:semiHidden/>
    <w:pPr>
      <w:spacing w:line="240" w:lineRule="auto"/>
      <w:ind w:left="480" w:hanging="240"/>
    </w:pPr>
    <w:rPr>
      <w:sz w:val="21"/>
    </w:rPr>
  </w:style>
  <w:style w:type="paragraph" w:styleId="Index4">
    <w:name w:val="index 4"/>
    <w:basedOn w:val="IndexBase"/>
    <w:semiHidden/>
    <w:pPr>
      <w:spacing w:line="240" w:lineRule="auto"/>
      <w:ind w:left="600" w:hanging="240"/>
    </w:pPr>
    <w:rPr>
      <w:sz w:val="21"/>
    </w:rPr>
  </w:style>
  <w:style w:type="paragraph" w:styleId="Index5">
    <w:name w:val="index 5"/>
    <w:basedOn w:val="IndexBase"/>
    <w:semiHidden/>
    <w:pPr>
      <w:spacing w:line="240" w:lineRule="auto"/>
      <w:ind w:left="840"/>
    </w:pPr>
    <w:rPr>
      <w:sz w:val="21"/>
    </w:rPr>
  </w:style>
  <w:style w:type="paragraph" w:styleId="IndexHeading">
    <w:name w:val="index heading"/>
    <w:basedOn w:val="HeadingBase"/>
    <w:next w:val="Index1"/>
    <w:semiHidden/>
    <w:pPr>
      <w:keepLines w:val="0"/>
      <w:spacing w:line="480" w:lineRule="atLeast"/>
    </w:pPr>
    <w:rPr>
      <w:spacing w:val="-5"/>
      <w:kern w:val="0"/>
      <w:sz w:val="28"/>
    </w:rPr>
  </w:style>
  <w:style w:type="paragraph" w:customStyle="1" w:styleId="SectionHeading">
    <w:name w:val="Section Heading"/>
    <w:basedOn w:val="Heading1"/>
  </w:style>
  <w:style w:type="character" w:customStyle="1" w:styleId="Lead-inEmphasis">
    <w:name w:val="Lead-in Emphasis"/>
    <w:rPr>
      <w:caps/>
      <w:sz w:val="18"/>
    </w:rPr>
  </w:style>
  <w:style w:type="character" w:styleId="LineNumber">
    <w:name w:val="line number"/>
    <w:rPr>
      <w:sz w:val="18"/>
    </w:rPr>
  </w:style>
  <w:style w:type="paragraph" w:styleId="List">
    <w:name w:val="List"/>
    <w:basedOn w:val="BodyText"/>
    <w:pPr>
      <w:ind w:left="360" w:hanging="360"/>
    </w:pPr>
  </w:style>
  <w:style w:type="paragraph" w:styleId="ListBullet">
    <w:name w:val="List Bullet"/>
    <w:basedOn w:val="List"/>
    <w:pPr>
      <w:numPr>
        <w:numId w:val="2"/>
      </w:numPr>
      <w:ind w:right="720"/>
    </w:pPr>
  </w:style>
  <w:style w:type="paragraph" w:styleId="ListNumber">
    <w:name w:val="List Number"/>
    <w:basedOn w:val="List"/>
    <w:pPr>
      <w:ind w:left="720" w:right="720"/>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pPr>
      <w:spacing w:after="240" w:line="720" w:lineRule="atLeast"/>
      <w:jc w:val="center"/>
    </w:pPr>
    <w:rPr>
      <w:caps/>
      <w:spacing w:val="65"/>
      <w:sz w:val="64"/>
    </w:rPr>
  </w:style>
  <w:style w:type="character" w:customStyle="1" w:styleId="Superscript">
    <w:name w:val="Superscript"/>
    <w:rPr>
      <w:vertAlign w:val="superscript"/>
    </w:rPr>
  </w:style>
  <w:style w:type="paragraph" w:customStyle="1" w:styleId="TOCBase">
    <w:name w:val="TOC Base"/>
    <w:basedOn w:val="Normal"/>
    <w:pPr>
      <w:tabs>
        <w:tab w:val="right" w:leader="dot" w:pos="5040"/>
      </w:tabs>
      <w:spacing w:after="240" w:line="240" w:lineRule="atLeast"/>
    </w:pPr>
  </w:style>
  <w:style w:type="paragraph" w:styleId="TableofFigures">
    <w:name w:val="table of figures"/>
    <w:basedOn w:val="TOCBase"/>
    <w:semiHidden/>
  </w:style>
  <w:style w:type="paragraph" w:styleId="TOC1">
    <w:name w:val="toc 1"/>
    <w:basedOn w:val="TOCBase"/>
    <w:semiHidden/>
  </w:style>
  <w:style w:type="paragraph" w:styleId="TOC2">
    <w:name w:val="toc 2"/>
    <w:basedOn w:val="TOCBase"/>
    <w:semiHidden/>
  </w:style>
  <w:style w:type="paragraph" w:styleId="TOC3">
    <w:name w:val="toc 3"/>
    <w:basedOn w:val="TOCBase"/>
    <w:semiHidden/>
    <w:rPr>
      <w:i/>
    </w:rPr>
  </w:style>
  <w:style w:type="paragraph" w:styleId="TOC4">
    <w:name w:val="toc 4"/>
    <w:basedOn w:val="TOCBase"/>
    <w:semiHidden/>
    <w:rPr>
      <w:i/>
    </w:rPr>
  </w:style>
  <w:style w:type="paragraph" w:styleId="TOC5">
    <w:name w:val="toc 5"/>
    <w:basedOn w:val="TOCBase"/>
    <w:semiHidden/>
    <w:rPr>
      <w:i/>
    </w:rPr>
  </w:style>
  <w:style w:type="paragraph" w:customStyle="1" w:styleId="SectionLabel">
    <w:name w:val="Section Label"/>
    <w:basedOn w:val="HeadingBase"/>
    <w:next w:val="BodyText"/>
    <w:pPr>
      <w:pBdr>
        <w:bottom w:val="single" w:sz="6" w:space="24" w:color="808080"/>
      </w:pBdr>
      <w:spacing w:after="720"/>
      <w:jc w:val="center"/>
    </w:pPr>
    <w:rPr>
      <w:caps/>
      <w:spacing w:val="80"/>
      <w:sz w:val="48"/>
    </w:rPr>
  </w:style>
  <w:style w:type="paragraph" w:customStyle="1" w:styleId="FooterFirst">
    <w:name w:val="Footer First"/>
    <w:basedOn w:val="Footer"/>
  </w:style>
  <w:style w:type="paragraph" w:customStyle="1" w:styleId="FooterEven">
    <w:name w:val="Footer Even"/>
    <w:basedOn w:val="Footer"/>
  </w:style>
  <w:style w:type="paragraph" w:customStyle="1" w:styleId="FooterOdd">
    <w:name w:val="Footer Odd"/>
    <w:basedOn w:val="Footer"/>
  </w:style>
  <w:style w:type="paragraph" w:customStyle="1" w:styleId="HeaderFirst">
    <w:name w:val="Header First"/>
    <w:basedOn w:val="Header"/>
  </w:style>
  <w:style w:type="paragraph" w:customStyle="1" w:styleId="HeaderEven">
    <w:name w:val="Header Even"/>
    <w:basedOn w:val="Header"/>
    <w:rPr>
      <w:i/>
      <w:spacing w:val="10"/>
      <w:sz w:val="16"/>
    </w:rPr>
  </w:style>
  <w:style w:type="paragraph" w:customStyle="1" w:styleId="HeaderOdd">
    <w:name w:val="Header Odd"/>
    <w:basedOn w:val="Header"/>
  </w:style>
  <w:style w:type="paragraph" w:customStyle="1" w:styleId="ChapterLabel">
    <w:name w:val="Chapter Label"/>
    <w:basedOn w:val="SectionLabel"/>
  </w:style>
  <w:style w:type="paragraph" w:customStyle="1" w:styleId="ChapterSubtitle">
    <w:name w:val="Chapter Subtitle"/>
    <w:basedOn w:val="Subtitle"/>
  </w:style>
  <w:style w:type="paragraph" w:styleId="Subtitle">
    <w:name w:val="Subtitle"/>
    <w:basedOn w:val="Title"/>
    <w:next w:val="BodyText"/>
    <w:qFormat/>
    <w:pPr>
      <w:spacing w:after="420"/>
    </w:pPr>
    <w:rPr>
      <w:spacing w:val="20"/>
      <w:sz w:val="22"/>
    </w:rPr>
  </w:style>
  <w:style w:type="paragraph" w:styleId="Title">
    <w:name w:val="Title"/>
    <w:basedOn w:val="HeadingBase"/>
    <w:next w:val="Subtitle"/>
    <w:qFormat/>
    <w:pPr>
      <w:spacing w:before="140" w:line="240" w:lineRule="auto"/>
      <w:jc w:val="center"/>
    </w:pPr>
    <w:rPr>
      <w:caps/>
      <w:spacing w:val="60"/>
      <w:sz w:val="44"/>
    </w:rPr>
  </w:style>
  <w:style w:type="paragraph" w:customStyle="1" w:styleId="ChapterTitle">
    <w:name w:val="Chapter Title"/>
    <w:basedOn w:val="Title"/>
  </w:style>
  <w:style w:type="paragraph" w:styleId="BodyTextIndent">
    <w:name w:val="Body Text Indent"/>
    <w:basedOn w:val="BodyText"/>
    <w:pPr>
      <w:ind w:left="360"/>
    </w:pPr>
  </w:style>
  <w:style w:type="paragraph" w:styleId="BalloonText">
    <w:name w:val="Balloon Text"/>
    <w:basedOn w:val="Normal"/>
    <w:semiHidden/>
    <w:rsid w:val="00B95BE2"/>
    <w:rPr>
      <w:rFonts w:ascii="Tahoma" w:hAnsi="Tahoma" w:cs="Tahoma"/>
      <w:sz w:val="16"/>
      <w:szCs w:val="16"/>
    </w:r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Bullet2">
    <w:name w:val="List Bullet 2"/>
    <w:basedOn w:val="ListBullet"/>
    <w:pPr>
      <w:ind w:left="1080"/>
    </w:pPr>
  </w:style>
  <w:style w:type="paragraph" w:styleId="ListNumber4">
    <w:name w:val="List Number 4"/>
    <w:basedOn w:val="ListNumber"/>
    <w:pPr>
      <w:ind w:left="180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qFormat/>
    <w:rPr>
      <w:caps/>
      <w:sz w:val="18"/>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5">
    <w:name w:val="List Number 5"/>
    <w:basedOn w:val="ListNumber"/>
    <w:pPr>
      <w:ind w:left="216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720"/>
    </w:pPr>
  </w:style>
  <w:style w:type="paragraph" w:customStyle="1" w:styleId="ReturnAddress">
    <w:name w:val="Return Address"/>
    <w:pPr>
      <w:framePr w:w="8640" w:wrap="notBeside" w:vAnchor="page" w:hAnchor="page" w:x="1729" w:y="14401" w:anchorLock="1"/>
      <w:tabs>
        <w:tab w:val="left" w:pos="2160"/>
      </w:tabs>
      <w:spacing w:line="240" w:lineRule="atLeast"/>
      <w:ind w:right="-240"/>
      <w:jc w:val="center"/>
    </w:pPr>
    <w:rPr>
      <w:rFonts w:ascii="Garamond" w:hAnsi="Garamond"/>
      <w:caps/>
      <w:spacing w:val="30"/>
      <w:sz w:val="14"/>
      <w:lang w:val="en-US" w:eastAsia="en-US"/>
    </w:rPr>
  </w:style>
  <w:style w:type="character" w:customStyle="1" w:styleId="Slogan">
    <w:name w:val="Slogan"/>
    <w:basedOn w:val="DefaultParagraphFont"/>
    <w:rPr>
      <w:i/>
      <w:spacing w:val="70"/>
    </w:r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style>
  <w:style w:type="paragraph" w:customStyle="1" w:styleId="PartLabel">
    <w:name w:val="Part Label"/>
    <w:basedOn w:val="SectionLabel"/>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styleId="ListBullet5">
    <w:name w:val="List Bullet 5"/>
    <w:basedOn w:val="ListBullet"/>
    <w:pPr>
      <w:ind w:left="2160"/>
    </w:pPr>
  </w:style>
  <w:style w:type="paragraph" w:styleId="CommentSubject">
    <w:name w:val="annotation subject"/>
    <w:basedOn w:val="CommentText"/>
    <w:next w:val="CommentText"/>
    <w:semiHidden/>
    <w:rsid w:val="004323C5"/>
    <w:pPr>
      <w:keepLines w:val="0"/>
      <w:spacing w:after="0" w:line="240" w:lineRule="auto"/>
      <w:jc w:val="left"/>
    </w:pPr>
    <w:rPr>
      <w:b/>
      <w:bCs/>
      <w:sz w:val="20"/>
    </w:rPr>
  </w:style>
  <w:style w:type="table" w:customStyle="1" w:styleId="TableGrid1">
    <w:name w:val="Table Grid1"/>
    <w:basedOn w:val="TableNormal"/>
    <w:next w:val="TableGrid"/>
    <w:uiPriority w:val="59"/>
    <w:rsid w:val="00B00AD4"/>
    <w:rPr>
      <w:rFonts w:asciiTheme="minorHAnsi" w:eastAsiaTheme="minorEastAsia" w:hAnsiTheme="minorHAnsi" w:cstheme="minorBidi"/>
      <w:sz w:val="22"/>
      <w:szCs w:val="22"/>
      <w:lang w:val="af-ZA" w:eastAsia="af-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rsid w:val="00B0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sid w:val="00457B0B"/>
    <w:rPr>
      <w:rFonts w:ascii="Garamond" w:hAnsi="Garamond"/>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lang w:eastAsia="en-US"/>
    </w:rPr>
  </w:style>
  <w:style w:type="paragraph" w:styleId="Heading1">
    <w:name w:val="heading 1"/>
    <w:basedOn w:val="HeadingBase"/>
    <w:next w:val="BodyText"/>
    <w:qFormat/>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pPr>
      <w:spacing w:after="180"/>
      <w:jc w:val="center"/>
      <w:outlineLvl w:val="1"/>
    </w:pPr>
    <w:rPr>
      <w:b/>
      <w:caps/>
      <w:spacing w:val="10"/>
      <w:sz w:val="18"/>
    </w:rPr>
  </w:style>
  <w:style w:type="paragraph" w:styleId="Heading3">
    <w:name w:val="heading 3"/>
    <w:basedOn w:val="HeadingBase"/>
    <w:next w:val="BodyText"/>
    <w:qFormat/>
    <w:pPr>
      <w:spacing w:before="240" w:after="180"/>
      <w:outlineLvl w:val="2"/>
    </w:pPr>
    <w:rPr>
      <w:caps/>
      <w:sz w:val="20"/>
    </w:rPr>
  </w:style>
  <w:style w:type="paragraph" w:styleId="Heading4">
    <w:name w:val="heading 4"/>
    <w:basedOn w:val="HeadingBase"/>
    <w:next w:val="BodyText"/>
    <w:qFormat/>
    <w:pPr>
      <w:spacing w:before="240" w:after="240"/>
      <w:ind w:left="360"/>
      <w:outlineLvl w:val="3"/>
    </w:pPr>
    <w:rPr>
      <w:i/>
      <w:spacing w:val="5"/>
      <w:sz w:val="24"/>
    </w:rPr>
  </w:style>
  <w:style w:type="paragraph" w:styleId="Heading5">
    <w:name w:val="heading 5"/>
    <w:basedOn w:val="HeadingBase"/>
    <w:next w:val="BodyText"/>
    <w:qFormat/>
    <w:pPr>
      <w:outlineLvl w:val="4"/>
    </w:pPr>
    <w:rPr>
      <w:b/>
    </w:rPr>
  </w:style>
  <w:style w:type="paragraph" w:styleId="Heading6">
    <w:name w:val="heading 6"/>
    <w:basedOn w:val="HeadingBase"/>
    <w:next w:val="BodyText"/>
    <w:qFormat/>
    <w:pPr>
      <w:outlineLvl w:val="5"/>
    </w:pPr>
    <w:rPr>
      <w:i/>
      <w:spacing w:val="5"/>
    </w:rPr>
  </w:style>
  <w:style w:type="paragraph" w:styleId="Heading7">
    <w:name w:val="heading 7"/>
    <w:basedOn w:val="HeadingBase"/>
    <w:next w:val="BodyText"/>
    <w:qFormat/>
    <w:pPr>
      <w:outlineLvl w:val="6"/>
    </w:pPr>
    <w:rPr>
      <w:caps/>
      <w:sz w:val="18"/>
    </w:rPr>
  </w:style>
  <w:style w:type="paragraph" w:styleId="Heading8">
    <w:name w:val="heading 8"/>
    <w:basedOn w:val="HeadingBase"/>
    <w:next w:val="BodyText"/>
    <w:qFormat/>
    <w:pPr>
      <w:ind w:firstLine="360"/>
      <w:outlineLvl w:val="7"/>
    </w:pPr>
    <w:rPr>
      <w:i/>
      <w:spacing w:val="5"/>
    </w:rPr>
  </w:style>
  <w:style w:type="paragraph" w:styleId="Heading9">
    <w:name w:val="heading 9"/>
    <w:basedOn w:val="HeadingBase"/>
    <w:next w:val="BodyText"/>
    <w:qFormat/>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ind w:firstLine="0"/>
      <w:jc w:val="left"/>
    </w:pPr>
    <w:rPr>
      <w:kern w:val="20"/>
    </w:rPr>
  </w:style>
  <w:style w:type="paragraph" w:styleId="BodyText">
    <w:name w:val="Body Text"/>
    <w:basedOn w:val="Normal"/>
    <w:pPr>
      <w:spacing w:after="240" w:line="240" w:lineRule="atLeast"/>
      <w:ind w:firstLine="360"/>
      <w:jc w:val="both"/>
    </w:pPr>
  </w:style>
  <w:style w:type="paragraph" w:customStyle="1" w:styleId="FootnoteBase">
    <w:name w:val="Footnote Base"/>
    <w:basedOn w:val="BodyText"/>
    <w:pPr>
      <w:keepLines/>
      <w:spacing w:line="200" w:lineRule="atLeast"/>
      <w:ind w:firstLine="0"/>
    </w:pPr>
    <w:rPr>
      <w:sz w:val="18"/>
    </w:rPr>
  </w:style>
  <w:style w:type="paragraph" w:customStyle="1" w:styleId="BlockQuotation">
    <w:name w:val="Block Quotation"/>
    <w:basedOn w:val="BodyText"/>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40" w:line="200" w:lineRule="atLeast"/>
      <w:ind w:left="1920" w:hanging="120"/>
    </w:pPr>
    <w:rPr>
      <w:i/>
      <w:spacing w:val="5"/>
      <w:sz w:val="20"/>
    </w:rPr>
  </w:style>
  <w:style w:type="paragraph" w:customStyle="1" w:styleId="Picture">
    <w:name w:val="Picture"/>
    <w:basedOn w:val="Normal"/>
    <w:next w:val="Caption"/>
    <w:pPr>
      <w:keepNext/>
    </w:pPr>
  </w:style>
  <w:style w:type="paragraph" w:customStyle="1" w:styleId="DocumentLabel">
    <w:name w:val="Document Label"/>
    <w:next w:val="Normal"/>
    <w:pPr>
      <w:pBdr>
        <w:top w:val="single" w:sz="6" w:space="6" w:color="808080"/>
        <w:bottom w:val="single" w:sz="6" w:space="6" w:color="808080"/>
      </w:pBdr>
      <w:spacing w:line="240" w:lineRule="atLeast"/>
      <w:jc w:val="center"/>
    </w:pPr>
    <w:rPr>
      <w:rFonts w:ascii="Garamond" w:hAnsi="Garamond"/>
      <w:b/>
      <w:caps/>
      <w:spacing w:val="40"/>
      <w:sz w:val="18"/>
      <w:lang w:val="en-US" w:eastAsia="en-US"/>
    </w:rPr>
  </w:style>
  <w:style w:type="character" w:styleId="EndnoteReference">
    <w:name w:val="endnote reference"/>
    <w:semiHidden/>
    <w:rPr>
      <w:vertAlign w:val="superscript"/>
    </w:rPr>
  </w:style>
  <w:style w:type="paragraph" w:styleId="EndnoteText">
    <w:name w:val="endnote text"/>
    <w:basedOn w:val="FootnoteBase"/>
    <w:semiHidden/>
  </w:style>
  <w:style w:type="paragraph" w:styleId="Footer">
    <w:name w:val="footer"/>
    <w:basedOn w:val="HeaderBase"/>
    <w:pPr>
      <w:tabs>
        <w:tab w:val="clear" w:pos="8640"/>
        <w:tab w:val="right" w:pos="9480"/>
      </w:tabs>
      <w:spacing w:before="600"/>
      <w:ind w:left="-840" w:right="-840"/>
    </w:pPr>
    <w:rPr>
      <w:sz w:val="24"/>
    </w:rPr>
  </w:style>
  <w:style w:type="paragraph" w:customStyle="1" w:styleId="HeaderBase">
    <w:name w:val="Header Base"/>
    <w:basedOn w:val="BodyText"/>
    <w:pPr>
      <w:keepLines/>
      <w:tabs>
        <w:tab w:val="center" w:pos="4320"/>
        <w:tab w:val="right" w:pos="8640"/>
      </w:tabs>
      <w:spacing w:after="0"/>
      <w:ind w:firstLine="0"/>
      <w:jc w:val="center"/>
    </w:pPr>
    <w:rPr>
      <w:caps/>
      <w:spacing w:val="15"/>
      <w:sz w:val="18"/>
    </w:rPr>
  </w:style>
  <w:style w:type="character" w:styleId="FootnoteReference">
    <w:name w:val="footnote reference"/>
    <w:uiPriority w:val="99"/>
    <w:semiHidden/>
    <w:rPr>
      <w:vertAlign w:val="superscript"/>
    </w:rPr>
  </w:style>
  <w:style w:type="paragraph" w:styleId="FootnoteText">
    <w:name w:val="footnote text"/>
    <w:basedOn w:val="FootnoteBase"/>
    <w:link w:val="FootnoteTextChar"/>
    <w:uiPriority w:val="99"/>
  </w:style>
  <w:style w:type="paragraph" w:styleId="Header">
    <w:name w:val="header"/>
    <w:basedOn w:val="HeaderBase"/>
    <w:pPr>
      <w:spacing w:after="480"/>
    </w:pPr>
  </w:style>
  <w:style w:type="paragraph" w:styleId="Index1">
    <w:name w:val="index 1"/>
    <w:basedOn w:val="IndexBase"/>
    <w:semiHidden/>
    <w:rPr>
      <w:sz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rPr>
  </w:style>
  <w:style w:type="paragraph" w:styleId="Index3">
    <w:name w:val="index 3"/>
    <w:basedOn w:val="IndexBase"/>
    <w:semiHidden/>
    <w:pPr>
      <w:spacing w:line="240" w:lineRule="auto"/>
      <w:ind w:left="480" w:hanging="240"/>
    </w:pPr>
    <w:rPr>
      <w:sz w:val="21"/>
    </w:rPr>
  </w:style>
  <w:style w:type="paragraph" w:styleId="Index4">
    <w:name w:val="index 4"/>
    <w:basedOn w:val="IndexBase"/>
    <w:semiHidden/>
    <w:pPr>
      <w:spacing w:line="240" w:lineRule="auto"/>
      <w:ind w:left="600" w:hanging="240"/>
    </w:pPr>
    <w:rPr>
      <w:sz w:val="21"/>
    </w:rPr>
  </w:style>
  <w:style w:type="paragraph" w:styleId="Index5">
    <w:name w:val="index 5"/>
    <w:basedOn w:val="IndexBase"/>
    <w:semiHidden/>
    <w:pPr>
      <w:spacing w:line="240" w:lineRule="auto"/>
      <w:ind w:left="840"/>
    </w:pPr>
    <w:rPr>
      <w:sz w:val="21"/>
    </w:rPr>
  </w:style>
  <w:style w:type="paragraph" w:styleId="IndexHeading">
    <w:name w:val="index heading"/>
    <w:basedOn w:val="HeadingBase"/>
    <w:next w:val="Index1"/>
    <w:semiHidden/>
    <w:pPr>
      <w:keepLines w:val="0"/>
      <w:spacing w:line="480" w:lineRule="atLeast"/>
    </w:pPr>
    <w:rPr>
      <w:spacing w:val="-5"/>
      <w:kern w:val="0"/>
      <w:sz w:val="28"/>
    </w:rPr>
  </w:style>
  <w:style w:type="paragraph" w:customStyle="1" w:styleId="SectionHeading">
    <w:name w:val="Section Heading"/>
    <w:basedOn w:val="Heading1"/>
  </w:style>
  <w:style w:type="character" w:customStyle="1" w:styleId="Lead-inEmphasis">
    <w:name w:val="Lead-in Emphasis"/>
    <w:rPr>
      <w:caps/>
      <w:sz w:val="18"/>
    </w:rPr>
  </w:style>
  <w:style w:type="character" w:styleId="LineNumber">
    <w:name w:val="line number"/>
    <w:rPr>
      <w:sz w:val="18"/>
    </w:rPr>
  </w:style>
  <w:style w:type="paragraph" w:styleId="List">
    <w:name w:val="List"/>
    <w:basedOn w:val="BodyText"/>
    <w:pPr>
      <w:ind w:left="360" w:hanging="360"/>
    </w:pPr>
  </w:style>
  <w:style w:type="paragraph" w:styleId="ListBullet">
    <w:name w:val="List Bullet"/>
    <w:basedOn w:val="List"/>
    <w:pPr>
      <w:numPr>
        <w:numId w:val="2"/>
      </w:numPr>
      <w:ind w:right="720"/>
    </w:pPr>
  </w:style>
  <w:style w:type="paragraph" w:styleId="ListNumber">
    <w:name w:val="List Number"/>
    <w:basedOn w:val="List"/>
    <w:pPr>
      <w:ind w:left="720" w:right="720"/>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pPr>
      <w:spacing w:after="240" w:line="720" w:lineRule="atLeast"/>
      <w:jc w:val="center"/>
    </w:pPr>
    <w:rPr>
      <w:caps/>
      <w:spacing w:val="65"/>
      <w:sz w:val="64"/>
    </w:rPr>
  </w:style>
  <w:style w:type="character" w:customStyle="1" w:styleId="Superscript">
    <w:name w:val="Superscript"/>
    <w:rPr>
      <w:vertAlign w:val="superscript"/>
    </w:rPr>
  </w:style>
  <w:style w:type="paragraph" w:customStyle="1" w:styleId="TOCBase">
    <w:name w:val="TOC Base"/>
    <w:basedOn w:val="Normal"/>
    <w:pPr>
      <w:tabs>
        <w:tab w:val="right" w:leader="dot" w:pos="5040"/>
      </w:tabs>
      <w:spacing w:after="240" w:line="240" w:lineRule="atLeast"/>
    </w:pPr>
  </w:style>
  <w:style w:type="paragraph" w:styleId="TableofFigures">
    <w:name w:val="table of figures"/>
    <w:basedOn w:val="TOCBase"/>
    <w:semiHidden/>
  </w:style>
  <w:style w:type="paragraph" w:styleId="TOC1">
    <w:name w:val="toc 1"/>
    <w:basedOn w:val="TOCBase"/>
    <w:semiHidden/>
  </w:style>
  <w:style w:type="paragraph" w:styleId="TOC2">
    <w:name w:val="toc 2"/>
    <w:basedOn w:val="TOCBase"/>
    <w:semiHidden/>
  </w:style>
  <w:style w:type="paragraph" w:styleId="TOC3">
    <w:name w:val="toc 3"/>
    <w:basedOn w:val="TOCBase"/>
    <w:semiHidden/>
    <w:rPr>
      <w:i/>
    </w:rPr>
  </w:style>
  <w:style w:type="paragraph" w:styleId="TOC4">
    <w:name w:val="toc 4"/>
    <w:basedOn w:val="TOCBase"/>
    <w:semiHidden/>
    <w:rPr>
      <w:i/>
    </w:rPr>
  </w:style>
  <w:style w:type="paragraph" w:styleId="TOC5">
    <w:name w:val="toc 5"/>
    <w:basedOn w:val="TOCBase"/>
    <w:semiHidden/>
    <w:rPr>
      <w:i/>
    </w:rPr>
  </w:style>
  <w:style w:type="paragraph" w:customStyle="1" w:styleId="SectionLabel">
    <w:name w:val="Section Label"/>
    <w:basedOn w:val="HeadingBase"/>
    <w:next w:val="BodyText"/>
    <w:pPr>
      <w:pBdr>
        <w:bottom w:val="single" w:sz="6" w:space="24" w:color="808080"/>
      </w:pBdr>
      <w:spacing w:after="720"/>
      <w:jc w:val="center"/>
    </w:pPr>
    <w:rPr>
      <w:caps/>
      <w:spacing w:val="80"/>
      <w:sz w:val="48"/>
    </w:rPr>
  </w:style>
  <w:style w:type="paragraph" w:customStyle="1" w:styleId="FooterFirst">
    <w:name w:val="Footer First"/>
    <w:basedOn w:val="Footer"/>
  </w:style>
  <w:style w:type="paragraph" w:customStyle="1" w:styleId="FooterEven">
    <w:name w:val="Footer Even"/>
    <w:basedOn w:val="Footer"/>
  </w:style>
  <w:style w:type="paragraph" w:customStyle="1" w:styleId="FooterOdd">
    <w:name w:val="Footer Odd"/>
    <w:basedOn w:val="Footer"/>
  </w:style>
  <w:style w:type="paragraph" w:customStyle="1" w:styleId="HeaderFirst">
    <w:name w:val="Header First"/>
    <w:basedOn w:val="Header"/>
  </w:style>
  <w:style w:type="paragraph" w:customStyle="1" w:styleId="HeaderEven">
    <w:name w:val="Header Even"/>
    <w:basedOn w:val="Header"/>
    <w:rPr>
      <w:i/>
      <w:spacing w:val="10"/>
      <w:sz w:val="16"/>
    </w:rPr>
  </w:style>
  <w:style w:type="paragraph" w:customStyle="1" w:styleId="HeaderOdd">
    <w:name w:val="Header Odd"/>
    <w:basedOn w:val="Header"/>
  </w:style>
  <w:style w:type="paragraph" w:customStyle="1" w:styleId="ChapterLabel">
    <w:name w:val="Chapter Label"/>
    <w:basedOn w:val="SectionLabel"/>
  </w:style>
  <w:style w:type="paragraph" w:customStyle="1" w:styleId="ChapterSubtitle">
    <w:name w:val="Chapter Subtitle"/>
    <w:basedOn w:val="Subtitle"/>
  </w:style>
  <w:style w:type="paragraph" w:styleId="Subtitle">
    <w:name w:val="Subtitle"/>
    <w:basedOn w:val="Title"/>
    <w:next w:val="BodyText"/>
    <w:qFormat/>
    <w:pPr>
      <w:spacing w:after="420"/>
    </w:pPr>
    <w:rPr>
      <w:spacing w:val="20"/>
      <w:sz w:val="22"/>
    </w:rPr>
  </w:style>
  <w:style w:type="paragraph" w:styleId="Title">
    <w:name w:val="Title"/>
    <w:basedOn w:val="HeadingBase"/>
    <w:next w:val="Subtitle"/>
    <w:qFormat/>
    <w:pPr>
      <w:spacing w:before="140" w:line="240" w:lineRule="auto"/>
      <w:jc w:val="center"/>
    </w:pPr>
    <w:rPr>
      <w:caps/>
      <w:spacing w:val="60"/>
      <w:sz w:val="44"/>
    </w:rPr>
  </w:style>
  <w:style w:type="paragraph" w:customStyle="1" w:styleId="ChapterTitle">
    <w:name w:val="Chapter Title"/>
    <w:basedOn w:val="Title"/>
  </w:style>
  <w:style w:type="paragraph" w:styleId="BodyTextIndent">
    <w:name w:val="Body Text Indent"/>
    <w:basedOn w:val="BodyText"/>
    <w:pPr>
      <w:ind w:left="360"/>
    </w:pPr>
  </w:style>
  <w:style w:type="paragraph" w:styleId="BalloonText">
    <w:name w:val="Balloon Text"/>
    <w:basedOn w:val="Normal"/>
    <w:semiHidden/>
    <w:rsid w:val="00B95BE2"/>
    <w:rPr>
      <w:rFonts w:ascii="Tahoma" w:hAnsi="Tahoma" w:cs="Tahoma"/>
      <w:sz w:val="16"/>
      <w:szCs w:val="16"/>
    </w:r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Bullet2">
    <w:name w:val="List Bullet 2"/>
    <w:basedOn w:val="ListBullet"/>
    <w:pPr>
      <w:ind w:left="1080"/>
    </w:pPr>
  </w:style>
  <w:style w:type="paragraph" w:styleId="ListNumber4">
    <w:name w:val="List Number 4"/>
    <w:basedOn w:val="ListNumber"/>
    <w:pPr>
      <w:ind w:left="180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qFormat/>
    <w:rPr>
      <w:caps/>
      <w:sz w:val="18"/>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5">
    <w:name w:val="List Number 5"/>
    <w:basedOn w:val="ListNumber"/>
    <w:pPr>
      <w:ind w:left="216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720"/>
    </w:pPr>
  </w:style>
  <w:style w:type="paragraph" w:customStyle="1" w:styleId="ReturnAddress">
    <w:name w:val="Return Address"/>
    <w:pPr>
      <w:framePr w:w="8640" w:wrap="notBeside" w:vAnchor="page" w:hAnchor="page" w:x="1729" w:y="14401" w:anchorLock="1"/>
      <w:tabs>
        <w:tab w:val="left" w:pos="2160"/>
      </w:tabs>
      <w:spacing w:line="240" w:lineRule="atLeast"/>
      <w:ind w:right="-240"/>
      <w:jc w:val="center"/>
    </w:pPr>
    <w:rPr>
      <w:rFonts w:ascii="Garamond" w:hAnsi="Garamond"/>
      <w:caps/>
      <w:spacing w:val="30"/>
      <w:sz w:val="14"/>
      <w:lang w:val="en-US" w:eastAsia="en-US"/>
    </w:rPr>
  </w:style>
  <w:style w:type="character" w:customStyle="1" w:styleId="Slogan">
    <w:name w:val="Slogan"/>
    <w:basedOn w:val="DefaultParagraphFont"/>
    <w:rPr>
      <w:i/>
      <w:spacing w:val="70"/>
    </w:r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style>
  <w:style w:type="paragraph" w:customStyle="1" w:styleId="PartLabel">
    <w:name w:val="Part Label"/>
    <w:basedOn w:val="SectionLabel"/>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styleId="ListBullet5">
    <w:name w:val="List Bullet 5"/>
    <w:basedOn w:val="ListBullet"/>
    <w:pPr>
      <w:ind w:left="2160"/>
    </w:pPr>
  </w:style>
  <w:style w:type="paragraph" w:styleId="CommentSubject">
    <w:name w:val="annotation subject"/>
    <w:basedOn w:val="CommentText"/>
    <w:next w:val="CommentText"/>
    <w:semiHidden/>
    <w:rsid w:val="004323C5"/>
    <w:pPr>
      <w:keepLines w:val="0"/>
      <w:spacing w:after="0" w:line="240" w:lineRule="auto"/>
      <w:jc w:val="left"/>
    </w:pPr>
    <w:rPr>
      <w:b/>
      <w:bCs/>
      <w:sz w:val="20"/>
    </w:rPr>
  </w:style>
  <w:style w:type="table" w:customStyle="1" w:styleId="TableGrid1">
    <w:name w:val="Table Grid1"/>
    <w:basedOn w:val="TableNormal"/>
    <w:next w:val="TableGrid"/>
    <w:uiPriority w:val="59"/>
    <w:rsid w:val="00B00AD4"/>
    <w:rPr>
      <w:rFonts w:asciiTheme="minorHAnsi" w:eastAsiaTheme="minorEastAsia" w:hAnsiTheme="minorHAnsi" w:cstheme="minorBidi"/>
      <w:sz w:val="22"/>
      <w:szCs w:val="22"/>
      <w:lang w:val="af-ZA" w:eastAsia="af-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rsid w:val="00B0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sid w:val="00457B0B"/>
    <w:rPr>
      <w:rFonts w:ascii="Garamond" w:hAnsi="Garamond"/>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3ABD855226749A0C2D8C9AEE33F1E" ma:contentTypeVersion="2" ma:contentTypeDescription="Create a new document." ma:contentTypeScope="" ma:versionID="ce62031e7de23c7ec6ba95a17022bd1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B473F-681E-46FB-AA5F-EFA26433423D}"/>
</file>

<file path=customXml/itemProps2.xml><?xml version="1.0" encoding="utf-8"?>
<ds:datastoreItem xmlns:ds="http://schemas.openxmlformats.org/officeDocument/2006/customXml" ds:itemID="{B022E55D-8322-40FD-877A-50E2CF400506}"/>
</file>

<file path=customXml/itemProps3.xml><?xml version="1.0" encoding="utf-8"?>
<ds:datastoreItem xmlns:ds="http://schemas.openxmlformats.org/officeDocument/2006/customXml" ds:itemID="{D5005607-6C77-49AA-9905-F6C3539252B9}"/>
</file>

<file path=docProps/app.xml><?xml version="1.0" encoding="utf-8"?>
<Properties xmlns="http://schemas.openxmlformats.org/officeDocument/2006/extended-properties" xmlns:vt="http://schemas.openxmlformats.org/officeDocument/2006/docPropsVTypes">
  <Template>Elegant Report.dot</Template>
  <TotalTime>0</TotalTime>
  <Pages>6</Pages>
  <Words>1297</Words>
  <Characters>6742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Elegant Report</vt:lpstr>
    </vt:vector>
  </TitlesOfParts>
  <Company>Stellenbosch University</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Report</dc:title>
  <dc:creator>Information Technology</dc:creator>
  <cp:lastModifiedBy>Cronje, G, Mev &lt;gretha@sun.ac.za&gt;</cp:lastModifiedBy>
  <cp:revision>2</cp:revision>
  <cp:lastPrinted>2009-07-31T07:32:00Z</cp:lastPrinted>
  <dcterms:created xsi:type="dcterms:W3CDTF">2013-11-28T07:29:00Z</dcterms:created>
  <dcterms:modified xsi:type="dcterms:W3CDTF">2013-11-28T07:29:00Z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0x0101007B13ABD855226749A0C2D8C9AEE33F1E</vt:lpwstr>
  </property>
</Properties>
</file>