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6D8AA07E" w:rsidR="004913DD" w:rsidRPr="008F5229" w:rsidRDefault="004913DD" w:rsidP="004D631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5229">
        <w:rPr>
          <w:rFonts w:ascii="Arial" w:hAnsi="Arial" w:cs="Arial"/>
          <w:b/>
          <w:sz w:val="24"/>
          <w:szCs w:val="24"/>
          <w:u w:val="single"/>
        </w:rPr>
        <w:t xml:space="preserve">SAMPLE PREPARATION FOR </w:t>
      </w:r>
      <w:r w:rsidR="002114AA" w:rsidRPr="002114AA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LOS GATOS RESEARCH (LGR) LIQUID WATER ISOTOPE ANALYSER</w:t>
      </w:r>
    </w:p>
    <w:p w14:paraId="3E7A9F1C" w14:textId="77777777" w:rsidR="00995536" w:rsidRPr="008F5229" w:rsidRDefault="00995536" w:rsidP="004D631B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5229">
        <w:rPr>
          <w:rFonts w:ascii="Arial" w:hAnsi="Arial" w:cs="Arial"/>
          <w:b/>
          <w:sz w:val="24"/>
          <w:szCs w:val="24"/>
        </w:rPr>
        <w:t>Introduction</w:t>
      </w:r>
    </w:p>
    <w:p w14:paraId="39C0899E" w14:textId="6B21C95F" w:rsidR="00337413" w:rsidRPr="00B66A46" w:rsidRDefault="00B66A46" w:rsidP="00DC34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Los Gatos Research (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LGR) Liquid Water Isotope Analys</w:t>
      </w: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er provides measurements of δ</w:t>
      </w:r>
      <w:r w:rsidRPr="00B66A46">
        <w:rPr>
          <w:rStyle w:val="s1"/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18</w:t>
      </w: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O, δ</w:t>
      </w:r>
      <w:r w:rsidRPr="00B66A46">
        <w:rPr>
          <w:rStyle w:val="s1"/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17</w:t>
      </w: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O and δ</w:t>
      </w:r>
      <w:r w:rsidRPr="00B66A46">
        <w:rPr>
          <w:rStyle w:val="s1"/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H of wa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ter in liquid </w:t>
      </w: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discrete </w:t>
      </w:r>
      <w:r w:rsidR="002114AA"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vapour</w:t>
      </w: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samples </w:t>
      </w:r>
      <w:r w:rsidR="00EF63CC" w:rsidRPr="002114AA">
        <w:rPr>
          <w:rFonts w:ascii="Arial" w:hAnsi="Arial" w:cs="Arial"/>
          <w:color w:val="333333"/>
          <w:sz w:val="24"/>
          <w:szCs w:val="24"/>
          <w:shd w:val="clear" w:color="auto" w:fill="FFFFFF"/>
        </w:rPr>
        <w:t>with unparalleled and unsurpassed stability and accuracy</w:t>
      </w:r>
      <w:r w:rsidR="00EF63C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 Measurements may be reported at the unmatched speed of (at least) 800 injections per day</w:t>
      </w:r>
      <w:r w:rsidR="00EF63CC">
        <w:rPr>
          <w:rFonts w:ascii="Arial" w:hAnsi="Arial" w:cs="Arial"/>
          <w:sz w:val="24"/>
          <w:szCs w:val="24"/>
        </w:rPr>
        <w:t>.</w:t>
      </w:r>
    </w:p>
    <w:p w14:paraId="0A37501D" w14:textId="77777777" w:rsidR="00D10C99" w:rsidRPr="008F5229" w:rsidRDefault="00D10C99" w:rsidP="00201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ABE0D" w14:textId="77777777" w:rsidR="00D66E8F" w:rsidRPr="008F5229" w:rsidRDefault="001E2BE7" w:rsidP="00201F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5229">
        <w:rPr>
          <w:rFonts w:ascii="Arial" w:hAnsi="Arial" w:cs="Arial"/>
          <w:b/>
          <w:sz w:val="24"/>
          <w:szCs w:val="24"/>
        </w:rPr>
        <w:t>Scope</w:t>
      </w:r>
    </w:p>
    <w:p w14:paraId="1C40618C" w14:textId="2B27EED7" w:rsidR="00337413" w:rsidRPr="008F5229" w:rsidRDefault="00337413" w:rsidP="00201F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5229">
        <w:rPr>
          <w:rFonts w:ascii="Arial" w:hAnsi="Arial" w:cs="Arial"/>
          <w:sz w:val="24"/>
          <w:szCs w:val="24"/>
        </w:rPr>
        <w:t>This Standard Ope</w:t>
      </w:r>
      <w:r w:rsidR="00602FAC">
        <w:rPr>
          <w:rFonts w:ascii="Arial" w:hAnsi="Arial" w:cs="Arial"/>
          <w:sz w:val="24"/>
          <w:szCs w:val="24"/>
        </w:rPr>
        <w:t xml:space="preserve">rating Procedure (SOP) provides </w:t>
      </w:r>
      <w:r w:rsidRPr="008F5229">
        <w:rPr>
          <w:rFonts w:ascii="Arial" w:hAnsi="Arial" w:cs="Arial"/>
          <w:sz w:val="24"/>
          <w:szCs w:val="24"/>
        </w:rPr>
        <w:t>technical guidance and procedures that will be employed for sample preparation required for</w:t>
      </w:r>
      <w:r w:rsidR="002114AA">
        <w:rPr>
          <w:rFonts w:ascii="Arial" w:hAnsi="Arial" w:cs="Arial"/>
          <w:sz w:val="24"/>
          <w:szCs w:val="24"/>
        </w:rPr>
        <w:t xml:space="preserve"> </w:t>
      </w:r>
      <w:r w:rsidR="002114AA"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Los Gatos Research (</w:t>
      </w:r>
      <w:r w:rsidR="002114AA">
        <w:rPr>
          <w:rFonts w:ascii="Arial" w:hAnsi="Arial" w:cs="Arial"/>
          <w:color w:val="333333"/>
          <w:sz w:val="24"/>
          <w:szCs w:val="24"/>
          <w:shd w:val="clear" w:color="auto" w:fill="FFFFFF"/>
        </w:rPr>
        <w:t>LGR) Liquid Water Isotope Analys</w:t>
      </w:r>
      <w:r w:rsidR="002114AA" w:rsidRPr="00B66A46">
        <w:rPr>
          <w:rFonts w:ascii="Arial" w:hAnsi="Arial" w:cs="Arial"/>
          <w:color w:val="333333"/>
          <w:sz w:val="24"/>
          <w:szCs w:val="24"/>
          <w:shd w:val="clear" w:color="auto" w:fill="FFFFFF"/>
        </w:rPr>
        <w:t>er</w:t>
      </w:r>
      <w:r w:rsidRPr="008F5229">
        <w:rPr>
          <w:rFonts w:ascii="Arial" w:hAnsi="Arial" w:cs="Arial"/>
          <w:sz w:val="24"/>
          <w:szCs w:val="24"/>
        </w:rPr>
        <w:t xml:space="preserve">. </w:t>
      </w:r>
    </w:p>
    <w:p w14:paraId="5DAB6C7B" w14:textId="77777777" w:rsidR="00337413" w:rsidRPr="008F5229" w:rsidRDefault="00337413" w:rsidP="00201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5AB5D5" w14:textId="77777777" w:rsidR="00D73783" w:rsidRPr="008F5229" w:rsidRDefault="00016045" w:rsidP="00602FA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5229">
        <w:rPr>
          <w:rFonts w:ascii="Arial" w:hAnsi="Arial" w:cs="Arial"/>
          <w:b/>
          <w:sz w:val="24"/>
          <w:szCs w:val="24"/>
        </w:rPr>
        <w:t>Procedure</w:t>
      </w:r>
    </w:p>
    <w:p w14:paraId="401ED90E" w14:textId="1A17EDED" w:rsidR="00AB0B59" w:rsidRPr="007459CC" w:rsidRDefault="00E260AE" w:rsidP="00745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filter</w:t>
      </w:r>
      <w:r w:rsidR="007459CC">
        <w:rPr>
          <w:rFonts w:ascii="Arial" w:hAnsi="Arial" w:cs="Arial"/>
          <w:sz w:val="24"/>
          <w:szCs w:val="24"/>
        </w:rPr>
        <w:t xml:space="preserve"> sample</w:t>
      </w:r>
      <w:r>
        <w:rPr>
          <w:rFonts w:ascii="Arial" w:hAnsi="Arial" w:cs="Arial"/>
          <w:sz w:val="24"/>
          <w:szCs w:val="24"/>
        </w:rPr>
        <w:t xml:space="preserve">s </w:t>
      </w:r>
      <w:r w:rsidR="007459CC">
        <w:rPr>
          <w:rFonts w:ascii="Arial" w:hAnsi="Arial" w:cs="Arial"/>
          <w:sz w:val="24"/>
          <w:szCs w:val="24"/>
        </w:rPr>
        <w:t>t</w:t>
      </w:r>
      <w:r w:rsidR="004D631B">
        <w:rPr>
          <w:rFonts w:ascii="Arial" w:hAnsi="Arial" w:cs="Arial"/>
          <w:sz w:val="24"/>
          <w:szCs w:val="24"/>
        </w:rPr>
        <w:t xml:space="preserve">hrough a </w:t>
      </w:r>
      <w:r w:rsidR="00201F9D">
        <w:rPr>
          <w:rFonts w:ascii="Arial" w:hAnsi="Arial" w:cs="Arial"/>
          <w:sz w:val="24"/>
          <w:szCs w:val="24"/>
        </w:rPr>
        <w:t>0.22</w:t>
      </w:r>
      <w:r w:rsidR="004D631B">
        <w:rPr>
          <w:rFonts w:ascii="Arial" w:hAnsi="Arial" w:cs="Arial"/>
          <w:sz w:val="24"/>
          <w:szCs w:val="24"/>
        </w:rPr>
        <w:t xml:space="preserve"> µm non-sterile </w:t>
      </w:r>
      <w:r w:rsidR="00201F9D">
        <w:rPr>
          <w:rFonts w:ascii="Arial" w:hAnsi="Arial" w:cs="Arial"/>
          <w:sz w:val="24"/>
          <w:szCs w:val="24"/>
        </w:rPr>
        <w:t xml:space="preserve">cellulose acetate or nylon </w:t>
      </w:r>
      <w:r w:rsidR="004D631B">
        <w:rPr>
          <w:rFonts w:ascii="Arial" w:hAnsi="Arial" w:cs="Arial"/>
          <w:sz w:val="24"/>
          <w:szCs w:val="24"/>
        </w:rPr>
        <w:t xml:space="preserve">syringe filter </w:t>
      </w:r>
      <w:r w:rsidR="007459CC">
        <w:rPr>
          <w:rFonts w:ascii="Arial" w:hAnsi="Arial" w:cs="Arial"/>
          <w:sz w:val="24"/>
          <w:szCs w:val="24"/>
        </w:rPr>
        <w:t>to remove particulate matter</w:t>
      </w:r>
      <w:r w:rsidR="41492A8C" w:rsidRPr="008F5229">
        <w:rPr>
          <w:rFonts w:ascii="Arial" w:hAnsi="Arial" w:cs="Arial"/>
          <w:sz w:val="24"/>
          <w:szCs w:val="24"/>
        </w:rPr>
        <w:t xml:space="preserve">. </w:t>
      </w:r>
    </w:p>
    <w:p w14:paraId="1618CA93" w14:textId="51A319C4" w:rsidR="00201F9D" w:rsidRDefault="007459CC" w:rsidP="00080D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sample size of </w:t>
      </w:r>
      <w:r w:rsidR="00201F9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ml is required</w:t>
      </w:r>
      <w:r w:rsidR="00A54D80">
        <w:rPr>
          <w:rFonts w:ascii="Arial" w:hAnsi="Arial" w:cs="Arial"/>
          <w:sz w:val="24"/>
          <w:szCs w:val="24"/>
        </w:rPr>
        <w:t>, preferably</w:t>
      </w:r>
      <w:r>
        <w:rPr>
          <w:rFonts w:ascii="Arial" w:hAnsi="Arial" w:cs="Arial"/>
          <w:sz w:val="24"/>
          <w:szCs w:val="24"/>
        </w:rPr>
        <w:t xml:space="preserve"> in </w:t>
      </w:r>
      <w:r w:rsidR="00201F9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ml polyethylene centrifuge tubes.</w:t>
      </w:r>
      <w:r w:rsidR="00080DCB">
        <w:rPr>
          <w:rFonts w:ascii="Arial" w:hAnsi="Arial" w:cs="Arial"/>
          <w:sz w:val="24"/>
          <w:szCs w:val="24"/>
        </w:rPr>
        <w:t xml:space="preserve"> </w:t>
      </w:r>
      <w:r w:rsidR="00201F9D">
        <w:rPr>
          <w:rFonts w:ascii="Arial" w:hAnsi="Arial" w:cs="Arial"/>
          <w:sz w:val="24"/>
          <w:szCs w:val="24"/>
        </w:rPr>
        <w:t>Please fill the tube to the brim, ensuring that there is no head space prior to capping the tube.</w:t>
      </w:r>
    </w:p>
    <w:p w14:paraId="532A63A8" w14:textId="792C0F3F" w:rsidR="00AB0B59" w:rsidRPr="00080DCB" w:rsidRDefault="007459CC" w:rsidP="00080DC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0DCB">
        <w:rPr>
          <w:rFonts w:ascii="Arial" w:hAnsi="Arial" w:cs="Arial"/>
          <w:sz w:val="24"/>
          <w:szCs w:val="24"/>
        </w:rPr>
        <w:t>Remember to tightly cap the centrifuge tube to prevent evaporation of the sample</w:t>
      </w:r>
      <w:r w:rsidR="00201F9D">
        <w:rPr>
          <w:rFonts w:ascii="Arial" w:hAnsi="Arial" w:cs="Arial"/>
          <w:sz w:val="24"/>
          <w:szCs w:val="24"/>
        </w:rPr>
        <w:t xml:space="preserve"> and wrap the cap with parafilm as an extra measure</w:t>
      </w:r>
      <w:r w:rsidRPr="00080DCB">
        <w:rPr>
          <w:rFonts w:ascii="Arial" w:hAnsi="Arial" w:cs="Arial"/>
          <w:sz w:val="24"/>
          <w:szCs w:val="24"/>
        </w:rPr>
        <w:t>.</w:t>
      </w:r>
    </w:p>
    <w:p w14:paraId="50F6F3D6" w14:textId="28D1D8F3" w:rsidR="007459CC" w:rsidRDefault="007459CC" w:rsidP="00602F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Label samples according to your sample submission template (downloadable on the </w:t>
      </w:r>
      <w:hyperlink r:id="rId11" w:history="1">
        <w:r w:rsidRPr="00E260AE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>)</w:t>
      </w:r>
      <w:r w:rsidR="41492A8C" w:rsidRPr="008F5229">
        <w:rPr>
          <w:rFonts w:ascii="Arial" w:hAnsi="Arial" w:cs="Arial"/>
          <w:sz w:val="24"/>
          <w:szCs w:val="24"/>
        </w:rPr>
        <w:t>.</w:t>
      </w:r>
    </w:p>
    <w:p w14:paraId="56630BD5" w14:textId="40C05962" w:rsidR="004D631B" w:rsidRDefault="004D631B" w:rsidP="00602F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the sample matrix (surface, ground, rain, seawater, xylem extracts) in the </w:t>
      </w:r>
      <w:r>
        <w:rPr>
          <w:rFonts w:ascii="Arial" w:hAnsi="Arial" w:cs="Arial"/>
          <w:i/>
          <w:sz w:val="24"/>
          <w:szCs w:val="24"/>
        </w:rPr>
        <w:t xml:space="preserve">other info </w:t>
      </w:r>
      <w:r>
        <w:rPr>
          <w:rFonts w:ascii="Arial" w:hAnsi="Arial" w:cs="Arial"/>
          <w:sz w:val="24"/>
          <w:szCs w:val="24"/>
        </w:rPr>
        <w:t>column on your sample submission template.</w:t>
      </w:r>
    </w:p>
    <w:p w14:paraId="68A9C7D6" w14:textId="2A51E30B" w:rsidR="007459CC" w:rsidRDefault="007459CC" w:rsidP="00745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the EC </w:t>
      </w:r>
      <w:r w:rsidR="00E260AE">
        <w:rPr>
          <w:rFonts w:ascii="Arial" w:hAnsi="Arial" w:cs="Arial"/>
          <w:sz w:val="24"/>
          <w:szCs w:val="24"/>
        </w:rPr>
        <w:t>and also fill in these values in the sample submission template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2DC54E" w14:textId="1DD7B356" w:rsidR="007459CC" w:rsidRPr="004D631B" w:rsidRDefault="004D631B" w:rsidP="004D631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samples at ambient temperature.</w:t>
      </w:r>
    </w:p>
    <w:p w14:paraId="1827809B" w14:textId="255957DD" w:rsidR="00AB0B59" w:rsidRPr="008F5229" w:rsidRDefault="00AB0B59" w:rsidP="00602FA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5B5963" w14:textId="20A425AB" w:rsidR="007459CC" w:rsidRDefault="00E260AE" w:rsidP="004D631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Important </w:t>
      </w:r>
      <w:r w:rsidR="41492A8C" w:rsidRPr="008F5229">
        <w:rPr>
          <w:rFonts w:ascii="Arial" w:hAnsi="Arial" w:cs="Arial"/>
          <w:b/>
          <w:bCs/>
          <w:sz w:val="24"/>
          <w:szCs w:val="24"/>
        </w:rPr>
        <w:t>Additional Notes</w:t>
      </w:r>
    </w:p>
    <w:p w14:paraId="64A8D0D6" w14:textId="4F29CA79" w:rsidR="00CA15F7" w:rsidRPr="004D631B" w:rsidRDefault="007459CC" w:rsidP="007155D5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155D5">
        <w:rPr>
          <w:rFonts w:ascii="Arial" w:hAnsi="Arial" w:cs="Arial"/>
          <w:sz w:val="24"/>
          <w:szCs w:val="24"/>
        </w:rPr>
        <w:t xml:space="preserve">Samples must not contain high concentrations </w:t>
      </w:r>
      <w:r w:rsidR="00201F9D">
        <w:rPr>
          <w:rFonts w:ascii="Arial" w:hAnsi="Arial" w:cs="Arial"/>
          <w:sz w:val="24"/>
          <w:szCs w:val="24"/>
        </w:rPr>
        <w:t>of salts or</w:t>
      </w:r>
      <w:r w:rsidRPr="007155D5">
        <w:rPr>
          <w:rFonts w:ascii="Arial" w:hAnsi="Arial" w:cs="Arial"/>
          <w:sz w:val="24"/>
          <w:szCs w:val="24"/>
        </w:rPr>
        <w:t xml:space="preserve"> contaminants such as volatile organics or proteins. </w:t>
      </w:r>
    </w:p>
    <w:p w14:paraId="5860B088" w14:textId="4A7C5DFE" w:rsidR="004D631B" w:rsidRPr="00210786" w:rsidRDefault="004D631B" w:rsidP="007155D5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Samples </w:t>
      </w:r>
      <w:r w:rsidR="008D4639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an EC </w:t>
      </w:r>
      <w:r w:rsidR="008D4639">
        <w:rPr>
          <w:rFonts w:ascii="Arial" w:hAnsi="Arial" w:cs="Arial"/>
          <w:sz w:val="24"/>
          <w:szCs w:val="24"/>
        </w:rPr>
        <w:t xml:space="preserve">above </w:t>
      </w:r>
      <w:r>
        <w:rPr>
          <w:rFonts w:ascii="Arial" w:hAnsi="Arial" w:cs="Arial"/>
          <w:sz w:val="24"/>
          <w:szCs w:val="24"/>
        </w:rPr>
        <w:t>2</w:t>
      </w:r>
      <w:r w:rsidR="008D4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µS.cm</w:t>
      </w:r>
      <w:r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 w:rsidR="00E260AE">
        <w:rPr>
          <w:rFonts w:ascii="Arial" w:hAnsi="Arial" w:cs="Arial"/>
          <w:sz w:val="24"/>
          <w:szCs w:val="24"/>
        </w:rPr>
        <w:t xml:space="preserve">will have to be </w:t>
      </w:r>
      <w:r>
        <w:rPr>
          <w:rFonts w:ascii="Arial" w:hAnsi="Arial" w:cs="Arial"/>
          <w:sz w:val="24"/>
          <w:szCs w:val="24"/>
        </w:rPr>
        <w:t>distilled before</w:t>
      </w:r>
      <w:r w:rsidR="00E260AE">
        <w:rPr>
          <w:rFonts w:ascii="Arial" w:hAnsi="Arial" w:cs="Arial"/>
          <w:sz w:val="24"/>
          <w:szCs w:val="24"/>
        </w:rPr>
        <w:t xml:space="preserve"> they are</w:t>
      </w:r>
      <w:r>
        <w:rPr>
          <w:rFonts w:ascii="Arial" w:hAnsi="Arial" w:cs="Arial"/>
          <w:sz w:val="24"/>
          <w:szCs w:val="24"/>
        </w:rPr>
        <w:t xml:space="preserve"> sent for analysis.</w:t>
      </w:r>
    </w:p>
    <w:sectPr w:rsidR="004D631B" w:rsidRPr="00210786" w:rsidSect="00201F9D">
      <w:headerReference w:type="default" r:id="rId12"/>
      <w:pgSz w:w="11906" w:h="16838" w:code="9"/>
      <w:pgMar w:top="1440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4F20" w14:textId="77777777" w:rsidR="005C3ADD" w:rsidRDefault="005C3ADD" w:rsidP="001E2BE7">
      <w:pPr>
        <w:spacing w:after="0" w:line="240" w:lineRule="auto"/>
      </w:pPr>
      <w:r>
        <w:separator/>
      </w:r>
    </w:p>
  </w:endnote>
  <w:endnote w:type="continuationSeparator" w:id="0">
    <w:p w14:paraId="2D828518" w14:textId="77777777" w:rsidR="005C3ADD" w:rsidRDefault="005C3ADD" w:rsidP="001E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86850" w14:textId="77777777" w:rsidR="005C3ADD" w:rsidRDefault="005C3ADD" w:rsidP="001E2BE7">
      <w:pPr>
        <w:spacing w:after="0" w:line="240" w:lineRule="auto"/>
      </w:pPr>
      <w:r>
        <w:separator/>
      </w:r>
    </w:p>
  </w:footnote>
  <w:footnote w:type="continuationSeparator" w:id="0">
    <w:p w14:paraId="743F966B" w14:textId="77777777" w:rsidR="005C3ADD" w:rsidRDefault="005C3ADD" w:rsidP="001E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42"/>
    </w:tblGrid>
    <w:tr w:rsidR="007155D5" w:rsidRPr="007155D5" w14:paraId="7FC62AA8" w14:textId="77777777" w:rsidTr="007155D5">
      <w:tc>
        <w:tcPr>
          <w:tcW w:w="9242" w:type="dxa"/>
        </w:tcPr>
        <w:p w14:paraId="000CA297" w14:textId="1F3F7AF7" w:rsidR="007155D5" w:rsidRPr="007155D5" w:rsidRDefault="007155D5" w:rsidP="007155D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155D5">
            <w:rPr>
              <w:rFonts w:ascii="Arial" w:hAnsi="Arial" w:cs="Arial"/>
              <w:b/>
              <w:sz w:val="28"/>
              <w:szCs w:val="28"/>
            </w:rPr>
            <w:t>STANDARD OPERATING PROCEDURE</w:t>
          </w:r>
        </w:p>
      </w:tc>
    </w:tr>
  </w:tbl>
  <w:p w14:paraId="335A10D5" w14:textId="77777777" w:rsidR="008F5229" w:rsidRPr="007155D5" w:rsidRDefault="008F522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766C"/>
    <w:multiLevelType w:val="hybridMultilevel"/>
    <w:tmpl w:val="BF968154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D56C49"/>
    <w:multiLevelType w:val="hybridMultilevel"/>
    <w:tmpl w:val="093CC7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679E2"/>
    <w:multiLevelType w:val="hybridMultilevel"/>
    <w:tmpl w:val="3EF225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E0DD0">
      <w:start w:val="1"/>
      <w:numFmt w:val="bullet"/>
      <w:lvlText w:val=""/>
      <w:lvlJc w:val="left"/>
      <w:pPr>
        <w:ind w:left="964" w:hanging="397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156EC"/>
    <w:multiLevelType w:val="hybridMultilevel"/>
    <w:tmpl w:val="CDDACF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F6E5D"/>
    <w:multiLevelType w:val="hybridMultilevel"/>
    <w:tmpl w:val="68A8866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95E11"/>
    <w:multiLevelType w:val="hybridMultilevel"/>
    <w:tmpl w:val="B5A860A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ED9"/>
    <w:multiLevelType w:val="hybridMultilevel"/>
    <w:tmpl w:val="B03C593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178EF"/>
    <w:multiLevelType w:val="hybridMultilevel"/>
    <w:tmpl w:val="86C4A4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E6B3A"/>
    <w:multiLevelType w:val="hybridMultilevel"/>
    <w:tmpl w:val="4ADC32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E0DD0">
      <w:start w:val="1"/>
      <w:numFmt w:val="bullet"/>
      <w:lvlText w:val=""/>
      <w:lvlJc w:val="left"/>
      <w:pPr>
        <w:ind w:left="964" w:hanging="397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E7"/>
    <w:rsid w:val="00014AC4"/>
    <w:rsid w:val="00016045"/>
    <w:rsid w:val="00056CD6"/>
    <w:rsid w:val="00080DCB"/>
    <w:rsid w:val="000B2243"/>
    <w:rsid w:val="000E1444"/>
    <w:rsid w:val="000E4AE3"/>
    <w:rsid w:val="001507FB"/>
    <w:rsid w:val="001C18B0"/>
    <w:rsid w:val="001D7FCE"/>
    <w:rsid w:val="001E2BE7"/>
    <w:rsid w:val="00201F9D"/>
    <w:rsid w:val="00210786"/>
    <w:rsid w:val="002114AA"/>
    <w:rsid w:val="00301BC3"/>
    <w:rsid w:val="003035F6"/>
    <w:rsid w:val="00337413"/>
    <w:rsid w:val="003E0B7B"/>
    <w:rsid w:val="004107F8"/>
    <w:rsid w:val="004434B6"/>
    <w:rsid w:val="004913DD"/>
    <w:rsid w:val="004B1710"/>
    <w:rsid w:val="004D631B"/>
    <w:rsid w:val="004F5BAE"/>
    <w:rsid w:val="00586FF6"/>
    <w:rsid w:val="005C1D4B"/>
    <w:rsid w:val="005C3ADD"/>
    <w:rsid w:val="005E38D1"/>
    <w:rsid w:val="00602FAC"/>
    <w:rsid w:val="006505C1"/>
    <w:rsid w:val="007155D5"/>
    <w:rsid w:val="007459CC"/>
    <w:rsid w:val="008722D9"/>
    <w:rsid w:val="008826F6"/>
    <w:rsid w:val="008D4639"/>
    <w:rsid w:val="008F5229"/>
    <w:rsid w:val="00995536"/>
    <w:rsid w:val="00A261D2"/>
    <w:rsid w:val="00A54D80"/>
    <w:rsid w:val="00A562C9"/>
    <w:rsid w:val="00AB0B59"/>
    <w:rsid w:val="00B37A84"/>
    <w:rsid w:val="00B66A46"/>
    <w:rsid w:val="00C434F4"/>
    <w:rsid w:val="00CA15F7"/>
    <w:rsid w:val="00D10C99"/>
    <w:rsid w:val="00D57B9C"/>
    <w:rsid w:val="00D66E8F"/>
    <w:rsid w:val="00D73783"/>
    <w:rsid w:val="00D75803"/>
    <w:rsid w:val="00D96B8D"/>
    <w:rsid w:val="00DB651D"/>
    <w:rsid w:val="00DC3443"/>
    <w:rsid w:val="00E022E3"/>
    <w:rsid w:val="00E1673A"/>
    <w:rsid w:val="00E260AE"/>
    <w:rsid w:val="00E414CB"/>
    <w:rsid w:val="00E9786C"/>
    <w:rsid w:val="00EC5A37"/>
    <w:rsid w:val="00EF0160"/>
    <w:rsid w:val="00EF63CC"/>
    <w:rsid w:val="00F55F72"/>
    <w:rsid w:val="00F71682"/>
    <w:rsid w:val="00F95239"/>
    <w:rsid w:val="00FF47CB"/>
    <w:rsid w:val="414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8F012"/>
  <w15:docId w15:val="{41F401ED-BD9B-4EC6-A4D7-D92FE04E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E7"/>
  </w:style>
  <w:style w:type="paragraph" w:styleId="Footer">
    <w:name w:val="footer"/>
    <w:basedOn w:val="Normal"/>
    <w:link w:val="FooterChar"/>
    <w:uiPriority w:val="99"/>
    <w:unhideWhenUsed/>
    <w:rsid w:val="001E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E7"/>
  </w:style>
  <w:style w:type="table" w:styleId="TableGrid">
    <w:name w:val="Table Grid"/>
    <w:basedOn w:val="TableNormal"/>
    <w:uiPriority w:val="39"/>
    <w:rsid w:val="001E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4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4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378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1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B66A46"/>
  </w:style>
  <w:style w:type="character" w:styleId="UnresolvedMention">
    <w:name w:val="Unresolved Mention"/>
    <w:basedOn w:val="DefaultParagraphFont"/>
    <w:uiPriority w:val="99"/>
    <w:semiHidden/>
    <w:unhideWhenUsed/>
    <w:rsid w:val="00E2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.ac.za/english/faculty/science/CAF/Pages/BIOGRIP%20Sample-Requirements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39B8-E14C-48CB-B7C6-54690B2EC7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52804D-D53F-4C03-A713-BF1E6DF6C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3C54B-A244-4EC3-8EF4-37B6A8450BBD}"/>
</file>

<file path=customXml/itemProps4.xml><?xml version="1.0" encoding="utf-8"?>
<ds:datastoreItem xmlns:ds="http://schemas.openxmlformats.org/officeDocument/2006/customXml" ds:itemID="{88AB003B-A1AC-4AA1-80ED-7E6F2014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Volante Moonsamy</dc:creator>
  <cp:lastModifiedBy>Colling, J, Dr [jcolling@sun.ac.za]</cp:lastModifiedBy>
  <cp:revision>3</cp:revision>
  <cp:lastPrinted>2019-08-26T09:58:00Z</cp:lastPrinted>
  <dcterms:created xsi:type="dcterms:W3CDTF">2021-07-12T14:22:00Z</dcterms:created>
  <dcterms:modified xsi:type="dcterms:W3CDTF">2021-07-12T14:25:00Z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