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3B" w:rsidRPr="00C75F41" w:rsidRDefault="006C6B3B" w:rsidP="006C6B3B">
      <w:pPr>
        <w:spacing w:line="276" w:lineRule="auto"/>
        <w:ind w:firstLine="426"/>
        <w:rPr>
          <w:b/>
          <w:sz w:val="24"/>
          <w:szCs w:val="24"/>
        </w:rPr>
      </w:pPr>
      <w:bookmarkStart w:id="0" w:name="_GoBack"/>
      <w:bookmarkEnd w:id="0"/>
      <w:r w:rsidRPr="00C75F41">
        <w:rPr>
          <w:b/>
          <w:sz w:val="24"/>
          <w:szCs w:val="24"/>
        </w:rPr>
        <w:t>National and International</w:t>
      </w:r>
      <w:r>
        <w:rPr>
          <w:b/>
          <w:sz w:val="24"/>
          <w:szCs w:val="24"/>
        </w:rPr>
        <w:t xml:space="preserve"> Teaching and Learning Research</w:t>
      </w:r>
    </w:p>
    <w:p w:rsidR="006C6B3B" w:rsidRDefault="006C6B3B" w:rsidP="006C6B3B">
      <w:pPr>
        <w:spacing w:after="0" w:line="276" w:lineRule="auto"/>
        <w:ind w:left="426"/>
        <w:jc w:val="both"/>
      </w:pPr>
      <w:r>
        <w:t>The following lists contain s</w:t>
      </w:r>
      <w:r w:rsidRPr="00C75F41">
        <w:t>eminal journal articles and books or chapters in books on teaching and learning</w:t>
      </w:r>
      <w:r>
        <w:t>, published by national and international scholars. If you would like to expand your knowledge of teaching and learning in higher education, these sources could serve as a guide in broadening your knowledge base of this field.</w:t>
      </w:r>
    </w:p>
    <w:p w:rsidR="006C6B3B" w:rsidRPr="00C75F41" w:rsidRDefault="006C6B3B" w:rsidP="006C6B3B">
      <w:pPr>
        <w:spacing w:after="0" w:line="276" w:lineRule="auto"/>
        <w:ind w:left="426"/>
        <w:jc w:val="both"/>
      </w:pPr>
    </w:p>
    <w:p w:rsidR="006C6B3B" w:rsidRPr="00C75F41" w:rsidRDefault="006C6B3B" w:rsidP="006C6B3B">
      <w:pPr>
        <w:spacing w:line="276" w:lineRule="auto"/>
        <w:ind w:firstLine="426"/>
        <w:rPr>
          <w:b/>
        </w:rPr>
      </w:pPr>
      <w:r w:rsidRPr="00C75F41">
        <w:rPr>
          <w:b/>
        </w:rPr>
        <w:t>1</w:t>
      </w:r>
      <w:r>
        <w:rPr>
          <w:b/>
        </w:rPr>
        <w:t>.</w:t>
      </w:r>
      <w:r w:rsidRPr="00C75F41">
        <w:rPr>
          <w:b/>
        </w:rPr>
        <w:t xml:space="preserve"> Journal Articles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</w:pPr>
      <w:r w:rsidRPr="00C75F41">
        <w:t xml:space="preserve">Biggs, J. 2014. Constructive alignment in university teaching. </w:t>
      </w:r>
      <w:r w:rsidRPr="00203744">
        <w:rPr>
          <w:i/>
        </w:rPr>
        <w:t>HERDSA Review of Higher Education</w:t>
      </w:r>
      <w:r w:rsidRPr="00C75F41">
        <w:t xml:space="preserve">, 1:1-22. Available at </w:t>
      </w:r>
      <w:hyperlink r:id="rId5" w:history="1">
        <w:r w:rsidRPr="00C75F41">
          <w:rPr>
            <w:rStyle w:val="Hyperlink"/>
          </w:rPr>
          <w:t>www.herdsa.org.au</w:t>
        </w:r>
      </w:hyperlink>
      <w:r w:rsidRPr="00C75F41">
        <w:t xml:space="preserve">. 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C75F41">
        <w:t xml:space="preserve">Birch, P.D.J., Batten, J., Manley, A.J. &amp; Smith, M.J. 2012. An exploratory investigation examining the cues that students use to form initial impressions and expectancies of lecturers. </w:t>
      </w:r>
      <w:r w:rsidRPr="00203744">
        <w:rPr>
          <w:i/>
        </w:rPr>
        <w:t>Teaching in Higher Education</w:t>
      </w:r>
      <w:r w:rsidRPr="00C75F41">
        <w:t>, 17(6): 660-672.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C75F41">
        <w:t xml:space="preserve">Case, J. 2015. Emergent interactions: Rethinking the relationship between teaching and learning. </w:t>
      </w:r>
      <w:r w:rsidRPr="00203744">
        <w:rPr>
          <w:i/>
        </w:rPr>
        <w:t>Teaching in Higher Education</w:t>
      </w:r>
      <w:r w:rsidRPr="00C75F41">
        <w:t>, 20(6): 625-635.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proofErr w:type="spellStart"/>
      <w:r w:rsidRPr="00C75F41">
        <w:t>Chickering</w:t>
      </w:r>
      <w:proofErr w:type="spellEnd"/>
      <w:r w:rsidRPr="00C75F41">
        <w:t xml:space="preserve">, A.W. &amp; </w:t>
      </w:r>
      <w:proofErr w:type="spellStart"/>
      <w:r w:rsidRPr="00C75F41">
        <w:t>Gamson</w:t>
      </w:r>
      <w:proofErr w:type="spellEnd"/>
      <w:r w:rsidRPr="00C75F41">
        <w:t>, Z.F. 1987. Seven principles for good practice in undergraduate education</w:t>
      </w:r>
      <w:r w:rsidRPr="00203744">
        <w:rPr>
          <w:i/>
        </w:rPr>
        <w:t>. AAHE Bulletin</w:t>
      </w:r>
      <w:r w:rsidRPr="00C75F41">
        <w:t>: 3-7.</w:t>
      </w:r>
      <w:r w:rsidRPr="00203744">
        <w:rPr>
          <w:i/>
          <w:iCs/>
        </w:rPr>
        <w:t xml:space="preserve">                     </w:t>
      </w:r>
      <w:r w:rsidRPr="00C75F41">
        <w:t>.</w:t>
      </w:r>
    </w:p>
    <w:p w:rsidR="006C6B3B" w:rsidRPr="0071013E" w:rsidRDefault="006C6B3B" w:rsidP="006C6B3B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5F41">
        <w:rPr>
          <w:rFonts w:asciiTheme="minorHAnsi" w:hAnsiTheme="minorHAnsi"/>
          <w:sz w:val="22"/>
          <w:szCs w:val="22"/>
        </w:rPr>
        <w:t>Ch</w:t>
      </w:r>
      <w:r w:rsidRPr="0071013E">
        <w:rPr>
          <w:rFonts w:asciiTheme="minorHAnsi" w:hAnsiTheme="minorHAnsi"/>
          <w:sz w:val="22"/>
          <w:szCs w:val="22"/>
        </w:rPr>
        <w:t xml:space="preserve">ristopher, D.A. 2011. Interactive large classes: The dynamics of teacher/student interaction. </w:t>
      </w:r>
      <w:r w:rsidRPr="0071013E">
        <w:rPr>
          <w:rFonts w:asciiTheme="minorHAnsi" w:hAnsiTheme="minorHAnsi"/>
          <w:bCs/>
          <w:i/>
          <w:iCs/>
          <w:sz w:val="22"/>
          <w:szCs w:val="22"/>
        </w:rPr>
        <w:t>Journal of Business &amp; Economics Research</w:t>
      </w:r>
      <w:r w:rsidRPr="0071013E">
        <w:rPr>
          <w:rFonts w:asciiTheme="minorHAnsi" w:hAnsiTheme="minorHAnsi"/>
          <w:bCs/>
          <w:iCs/>
          <w:sz w:val="22"/>
          <w:szCs w:val="22"/>
        </w:rPr>
        <w:t>, 1(8): 81-98.</w:t>
      </w:r>
    </w:p>
    <w:p w:rsidR="006C6B3B" w:rsidRPr="0071013E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LinLibertine"/>
        </w:rPr>
      </w:pPr>
      <w:r w:rsidRPr="0071013E">
        <w:rPr>
          <w:rFonts w:cs="LinLibertine"/>
        </w:rPr>
        <w:t>Cilliers, F</w:t>
      </w:r>
      <w:r>
        <w:rPr>
          <w:rFonts w:cs="LinLibertine"/>
        </w:rPr>
        <w:t>.</w:t>
      </w:r>
      <w:r w:rsidRPr="0071013E">
        <w:rPr>
          <w:rFonts w:cs="LinLibertine"/>
        </w:rPr>
        <w:t xml:space="preserve">J. </w:t>
      </w:r>
      <w:r>
        <w:rPr>
          <w:rFonts w:cs="LinLibertine"/>
        </w:rPr>
        <w:t>&amp;</w:t>
      </w:r>
      <w:r w:rsidRPr="0071013E">
        <w:rPr>
          <w:rFonts w:cs="LinLibertine"/>
        </w:rPr>
        <w:t xml:space="preserve"> Herman, N</w:t>
      </w:r>
      <w:r>
        <w:rPr>
          <w:rFonts w:cs="LinLibertine"/>
        </w:rPr>
        <w:t xml:space="preserve">. </w:t>
      </w:r>
      <w:r w:rsidRPr="0071013E">
        <w:rPr>
          <w:rFonts w:cs="LinLibertine"/>
        </w:rPr>
        <w:t>2010</w:t>
      </w:r>
      <w:r>
        <w:rPr>
          <w:rFonts w:cs="LinLibertine"/>
        </w:rPr>
        <w:t>.</w:t>
      </w:r>
      <w:r w:rsidRPr="0071013E">
        <w:rPr>
          <w:rFonts w:cs="LinLibertine"/>
        </w:rPr>
        <w:t xml:space="preserve"> Impact of an educational development programme on</w:t>
      </w:r>
    </w:p>
    <w:p w:rsidR="006C6B3B" w:rsidRPr="0071013E" w:rsidRDefault="006C6B3B" w:rsidP="006C6B3B">
      <w:pPr>
        <w:autoSpaceDE w:val="0"/>
        <w:autoSpaceDN w:val="0"/>
        <w:adjustRightInd w:val="0"/>
        <w:spacing w:after="0" w:line="276" w:lineRule="auto"/>
        <w:ind w:left="1146"/>
        <w:jc w:val="both"/>
      </w:pPr>
      <w:proofErr w:type="gramStart"/>
      <w:r w:rsidRPr="0071013E">
        <w:rPr>
          <w:rFonts w:cs="LinLibertine"/>
        </w:rPr>
        <w:t>teaching</w:t>
      </w:r>
      <w:proofErr w:type="gramEnd"/>
      <w:r w:rsidRPr="0071013E">
        <w:rPr>
          <w:rFonts w:cs="LinLibertine"/>
        </w:rPr>
        <w:t xml:space="preserve"> practice of academics at a research-intensive university</w:t>
      </w:r>
      <w:r>
        <w:rPr>
          <w:rFonts w:cs="LinLibertine"/>
        </w:rPr>
        <w:t>.</w:t>
      </w:r>
      <w:r w:rsidRPr="0071013E">
        <w:rPr>
          <w:rFonts w:cs="LinLibertine"/>
          <w:i/>
        </w:rPr>
        <w:t xml:space="preserve"> International Journal for Academic Development</w:t>
      </w:r>
      <w:r w:rsidRPr="0071013E">
        <w:rPr>
          <w:rFonts w:cs="LinLibertine"/>
        </w:rPr>
        <w:t>, 15</w:t>
      </w:r>
      <w:r>
        <w:rPr>
          <w:rFonts w:cs="LinLibertine"/>
        </w:rPr>
        <w:t>(</w:t>
      </w:r>
      <w:r w:rsidRPr="0071013E">
        <w:rPr>
          <w:rFonts w:cs="LinLibertine"/>
        </w:rPr>
        <w:t>3</w:t>
      </w:r>
      <w:r>
        <w:rPr>
          <w:rFonts w:cs="LinLibertine"/>
        </w:rPr>
        <w:t>):</w:t>
      </w:r>
      <w:r w:rsidRPr="0071013E">
        <w:rPr>
          <w:rFonts w:cs="LinLibertine"/>
        </w:rPr>
        <w:t xml:space="preserve"> 253</w:t>
      </w:r>
      <w:r>
        <w:rPr>
          <w:rFonts w:cs="LinLibertine"/>
        </w:rPr>
        <w:t>-</w:t>
      </w:r>
      <w:r w:rsidRPr="0071013E">
        <w:rPr>
          <w:rFonts w:cs="LinLibertine"/>
        </w:rPr>
        <w:t>267</w:t>
      </w:r>
      <w:r>
        <w:rPr>
          <w:rFonts w:cs="LinLibertine"/>
        </w:rPr>
        <w:t>.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71013E">
        <w:t>Elt</w:t>
      </w:r>
      <w:r w:rsidRPr="00C75F41">
        <w:t xml:space="preserve">on, L. 1998. Dimensions of excellence in university teaching. </w:t>
      </w:r>
      <w:r w:rsidRPr="00203744">
        <w:rPr>
          <w:i/>
        </w:rPr>
        <w:t>International Journal of Academic Development,</w:t>
      </w:r>
      <w:r w:rsidRPr="00C75F41">
        <w:t xml:space="preserve"> 3(1): 3-11.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C75F41">
        <w:t xml:space="preserve">Felder, R.M. &amp; Brent, R. 2005. Understanding student differences. </w:t>
      </w:r>
      <w:r w:rsidRPr="00203744">
        <w:rPr>
          <w:rFonts w:cs="Times New Roman"/>
          <w:i/>
          <w:iCs/>
        </w:rPr>
        <w:t>Journal of Engineering Education</w:t>
      </w:r>
      <w:r w:rsidRPr="00203744">
        <w:rPr>
          <w:rFonts w:cs="Times New Roman"/>
          <w:iCs/>
        </w:rPr>
        <w:t>, 94</w:t>
      </w:r>
      <w:r w:rsidRPr="00203744">
        <w:rPr>
          <w:rFonts w:cs="Times New Roman"/>
          <w:bCs/>
        </w:rPr>
        <w:t>(1): 57-72.</w:t>
      </w:r>
    </w:p>
    <w:p w:rsidR="006C6B3B" w:rsidRPr="00C75F41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C75F41">
        <w:t xml:space="preserve">Kane, R., </w:t>
      </w:r>
      <w:proofErr w:type="spellStart"/>
      <w:r w:rsidRPr="00C75F41">
        <w:t>Sandretto</w:t>
      </w:r>
      <w:proofErr w:type="spellEnd"/>
      <w:r w:rsidRPr="00C75F41">
        <w:t xml:space="preserve">, S. &amp; Heath, C. 2004. An investigation into excellent tertiary teaching: Emphasising reflective practice. </w:t>
      </w:r>
      <w:r w:rsidRPr="00203744">
        <w:rPr>
          <w:i/>
        </w:rPr>
        <w:t>Higher Education</w:t>
      </w:r>
      <w:r w:rsidRPr="00C75F41">
        <w:t>, 47: 283-310.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noPro"/>
          <w:color w:val="000000"/>
        </w:rPr>
      </w:pPr>
      <w:proofErr w:type="spellStart"/>
      <w:r w:rsidRPr="00203744">
        <w:rPr>
          <w:rFonts w:cs="ArnoPro"/>
          <w:color w:val="000000"/>
        </w:rPr>
        <w:t>Kreber</w:t>
      </w:r>
      <w:proofErr w:type="spellEnd"/>
      <w:r w:rsidRPr="00203744">
        <w:rPr>
          <w:rFonts w:cs="ArnoPro"/>
          <w:color w:val="000000"/>
        </w:rPr>
        <w:t xml:space="preserve">, C. &amp; </w:t>
      </w:r>
      <w:proofErr w:type="spellStart"/>
      <w:r w:rsidRPr="00203744">
        <w:rPr>
          <w:rFonts w:cs="ArnoPro"/>
          <w:color w:val="000000"/>
        </w:rPr>
        <w:t>Cranton</w:t>
      </w:r>
      <w:proofErr w:type="spellEnd"/>
      <w:r w:rsidRPr="00203744">
        <w:rPr>
          <w:rFonts w:cs="ArnoPro"/>
          <w:color w:val="000000"/>
        </w:rPr>
        <w:t>, P.A. 2000. Exploring the scholarship of teaching</w:t>
      </w:r>
      <w:r w:rsidRPr="00203744">
        <w:rPr>
          <w:rFonts w:cs="ArnoPro"/>
          <w:i/>
          <w:color w:val="000000"/>
        </w:rPr>
        <w:t>. The Journal of Higher Education</w:t>
      </w:r>
      <w:r w:rsidRPr="00203744">
        <w:rPr>
          <w:rFonts w:cs="ArnoPro"/>
          <w:color w:val="000000"/>
        </w:rPr>
        <w:t>, 71(4): 476-495.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noPro"/>
          <w:color w:val="000000"/>
        </w:rPr>
      </w:pPr>
      <w:proofErr w:type="spellStart"/>
      <w:r w:rsidRPr="00203744">
        <w:rPr>
          <w:rFonts w:cs="ArnoPro"/>
          <w:color w:val="000000"/>
        </w:rPr>
        <w:t>Mbembe</w:t>
      </w:r>
      <w:proofErr w:type="spellEnd"/>
      <w:r w:rsidRPr="00203744">
        <w:rPr>
          <w:rFonts w:cs="ArnoPro"/>
          <w:color w:val="000000"/>
        </w:rPr>
        <w:t xml:space="preserve">, A.J. 2016. Decolonizing the university: New directions. </w:t>
      </w:r>
      <w:r w:rsidRPr="00203744">
        <w:rPr>
          <w:rFonts w:cs="ArnoPro"/>
          <w:i/>
          <w:color w:val="000000"/>
        </w:rPr>
        <w:t>Arts &amp; Humanities in Higher Education</w:t>
      </w:r>
      <w:r w:rsidRPr="00203744">
        <w:rPr>
          <w:rFonts w:cs="ArnoPro"/>
          <w:color w:val="000000"/>
        </w:rPr>
        <w:t>, 15(1): 29-45.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Trebuchet MS"/>
        </w:rPr>
      </w:pPr>
      <w:r w:rsidRPr="00203744">
        <w:rPr>
          <w:rFonts w:cs="ArnoPro"/>
          <w:color w:val="000000"/>
        </w:rPr>
        <w:t xml:space="preserve">Morrison, C.D. 2013. From ‘Sage on the Stage’ to ‘Guide on the Side’: A Good Start. </w:t>
      </w:r>
      <w:r w:rsidRPr="00203744">
        <w:rPr>
          <w:rFonts w:cs="ArnoPro,Italic"/>
          <w:i/>
          <w:iCs/>
          <w:color w:val="000000"/>
        </w:rPr>
        <w:t>International Journal for the Scholarship of Teaching and Learning</w:t>
      </w:r>
      <w:r w:rsidRPr="00203744">
        <w:rPr>
          <w:rFonts w:cs="ArnoPro,Italic"/>
          <w:iCs/>
          <w:color w:val="000000"/>
        </w:rPr>
        <w:t xml:space="preserve">, </w:t>
      </w:r>
      <w:r w:rsidRPr="00203744">
        <w:rPr>
          <w:rFonts w:cs="ArnoPro"/>
          <w:color w:val="000000"/>
        </w:rPr>
        <w:t xml:space="preserve">8(1). Available at </w:t>
      </w:r>
      <w:hyperlink r:id="rId6" w:history="1">
        <w:r w:rsidRPr="00203744">
          <w:rPr>
            <w:rStyle w:val="Hyperlink"/>
            <w:rFonts w:cs="ArnoPro"/>
          </w:rPr>
          <w:t>http://digitalcommons.georgiasouthern.edu/ij-sotl/vol8/iss1/4</w:t>
        </w:r>
      </w:hyperlink>
      <w:r w:rsidRPr="00203744">
        <w:rPr>
          <w:rFonts w:cs="ArnoPro"/>
          <w:color w:val="316192"/>
        </w:rPr>
        <w:t>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dvTTec369687"/>
        </w:rPr>
      </w:pPr>
      <w:proofErr w:type="spellStart"/>
      <w:r w:rsidRPr="00203744">
        <w:rPr>
          <w:rFonts w:cs="AdvTTec369687"/>
        </w:rPr>
        <w:t>Richlin</w:t>
      </w:r>
      <w:proofErr w:type="spellEnd"/>
      <w:r w:rsidRPr="00203744">
        <w:rPr>
          <w:rFonts w:cs="AdvTTec369687"/>
        </w:rPr>
        <w:t xml:space="preserve">, L. 2001. Scholarly teaching and the scholarship of teaching. </w:t>
      </w:r>
      <w:r w:rsidRPr="00203744">
        <w:rPr>
          <w:rFonts w:cs="AdvTTc6ee16d2.I"/>
          <w:i/>
        </w:rPr>
        <w:t>New Directions for Teaching and Learning</w:t>
      </w:r>
      <w:r w:rsidRPr="00203744">
        <w:rPr>
          <w:rFonts w:cs="AdvTTc6ee16d2.I"/>
        </w:rPr>
        <w:t>, 86:</w:t>
      </w:r>
      <w:r w:rsidRPr="00203744">
        <w:rPr>
          <w:rFonts w:cs="AdvTTec369687"/>
        </w:rPr>
        <w:t xml:space="preserve"> 57-68.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dvP2AA1"/>
          <w:color w:val="231F20"/>
        </w:rPr>
      </w:pPr>
      <w:r w:rsidRPr="00C75F41">
        <w:t xml:space="preserve">Smith, K.A., Sheppard, S.S., Johnson, D.W. &amp; Johnson, R.T. 2005. Pedagogies of engagement: Classroom-based practice. </w:t>
      </w:r>
      <w:r w:rsidRPr="00203744">
        <w:rPr>
          <w:i/>
          <w:iCs/>
        </w:rPr>
        <w:t>Journal of Engineering Education</w:t>
      </w:r>
      <w:r w:rsidRPr="00C75F41">
        <w:t>, 94(1): 87-101.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dvP101884"/>
          <w:color w:val="231F20"/>
        </w:rPr>
      </w:pPr>
      <w:proofErr w:type="spellStart"/>
      <w:r w:rsidRPr="00203744">
        <w:rPr>
          <w:rFonts w:cs="AdvP2AA1"/>
          <w:color w:val="231F20"/>
        </w:rPr>
        <w:t>Tigelaar</w:t>
      </w:r>
      <w:proofErr w:type="spellEnd"/>
      <w:r w:rsidRPr="00203744">
        <w:rPr>
          <w:rFonts w:cs="AdvP2AA1"/>
          <w:color w:val="231F20"/>
        </w:rPr>
        <w:t xml:space="preserve">, D.E.H., Dolmans, D.H.J.M., De Grave, W.S., </w:t>
      </w:r>
      <w:proofErr w:type="spellStart"/>
      <w:r w:rsidRPr="00203744">
        <w:rPr>
          <w:rFonts w:cs="AdvP2AA1"/>
          <w:color w:val="231F20"/>
        </w:rPr>
        <w:t>Wolfhagen</w:t>
      </w:r>
      <w:proofErr w:type="spellEnd"/>
      <w:r w:rsidRPr="00203744">
        <w:rPr>
          <w:rFonts w:cs="AdvP2AA1"/>
          <w:color w:val="231F20"/>
        </w:rPr>
        <w:t xml:space="preserve">, I.H.A.P. &amp; Van der </w:t>
      </w:r>
      <w:proofErr w:type="spellStart"/>
      <w:r w:rsidRPr="00203744">
        <w:rPr>
          <w:rFonts w:cs="AdvP2AA1"/>
          <w:color w:val="231F20"/>
        </w:rPr>
        <w:t>Vleuten</w:t>
      </w:r>
      <w:proofErr w:type="spellEnd"/>
      <w:r w:rsidRPr="00203744">
        <w:rPr>
          <w:rFonts w:cs="AdvP2AA1"/>
          <w:color w:val="231F20"/>
        </w:rPr>
        <w:t xml:space="preserve">, C.P.M. 2006. Portfolio as a tool to stimulate teachers’ reflections. </w:t>
      </w:r>
      <w:r w:rsidRPr="00203744">
        <w:rPr>
          <w:rFonts w:cs="AdvP101884"/>
          <w:i/>
          <w:color w:val="231F20"/>
        </w:rPr>
        <w:t>Medical Teacher</w:t>
      </w:r>
      <w:r w:rsidRPr="00203744">
        <w:rPr>
          <w:rFonts w:cs="AdvP101884"/>
          <w:color w:val="231F20"/>
        </w:rPr>
        <w:t>, 28(3): 277-282.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dvTTb8864ccf.B"/>
          <w:color w:val="141314"/>
        </w:rPr>
      </w:pPr>
      <w:proofErr w:type="spellStart"/>
      <w:r w:rsidRPr="00203744">
        <w:rPr>
          <w:rFonts w:cs="AdvTT3713a231"/>
          <w:color w:val="141314"/>
        </w:rPr>
        <w:t>Toews</w:t>
      </w:r>
      <w:proofErr w:type="spellEnd"/>
      <w:r w:rsidRPr="00203744">
        <w:rPr>
          <w:rFonts w:cs="AdvTT3713a231"/>
          <w:color w:val="141314"/>
        </w:rPr>
        <w:t xml:space="preserve">, M.L. &amp; </w:t>
      </w:r>
      <w:proofErr w:type="spellStart"/>
      <w:r w:rsidRPr="00203744">
        <w:rPr>
          <w:rFonts w:cs="AdvTT3713a231"/>
          <w:color w:val="141314"/>
        </w:rPr>
        <w:t>Yazedjian</w:t>
      </w:r>
      <w:proofErr w:type="spellEnd"/>
      <w:r w:rsidRPr="00203744">
        <w:rPr>
          <w:rFonts w:cs="AdvTT3713a231"/>
          <w:color w:val="141314"/>
        </w:rPr>
        <w:t xml:space="preserve">, A. 2007. </w:t>
      </w:r>
      <w:r w:rsidRPr="00203744">
        <w:rPr>
          <w:rFonts w:cs="AdvTTb8864ccf.B"/>
          <w:color w:val="141314"/>
        </w:rPr>
        <w:t xml:space="preserve">The three-ring circus of academia: How to become the ringmaster. </w:t>
      </w:r>
      <w:r w:rsidRPr="00203744">
        <w:rPr>
          <w:rFonts w:cs="AdvTT3713a231"/>
          <w:i/>
          <w:color w:val="141314"/>
        </w:rPr>
        <w:t>Innovative Higher Education</w:t>
      </w:r>
      <w:r w:rsidRPr="00203744">
        <w:rPr>
          <w:rFonts w:cs="AdvTT3713a231"/>
          <w:color w:val="141314"/>
        </w:rPr>
        <w:t xml:space="preserve">, 32:113-122. 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dvTTec369687"/>
        </w:rPr>
      </w:pPr>
      <w:proofErr w:type="spellStart"/>
      <w:r w:rsidRPr="00203744">
        <w:rPr>
          <w:rFonts w:cs="AdvTTec369687"/>
        </w:rPr>
        <w:lastRenderedPageBreak/>
        <w:t>Trigwell</w:t>
      </w:r>
      <w:proofErr w:type="spellEnd"/>
      <w:r w:rsidRPr="00203744">
        <w:rPr>
          <w:rFonts w:cs="AdvTTec369687"/>
        </w:rPr>
        <w:t xml:space="preserve">, K. &amp; Shale, S. 2004. Student learning and the scholarship of university teaching. </w:t>
      </w:r>
      <w:r w:rsidRPr="00203744">
        <w:rPr>
          <w:rFonts w:cs="AdvTTc6ee16d2.I"/>
          <w:i/>
        </w:rPr>
        <w:t>Studies in Higher Education</w:t>
      </w:r>
      <w:r w:rsidRPr="00203744">
        <w:rPr>
          <w:rFonts w:cs="AdvTTc6ee16d2.I"/>
        </w:rPr>
        <w:t>, 29</w:t>
      </w:r>
      <w:r w:rsidRPr="00203744">
        <w:rPr>
          <w:rFonts w:cs="AdvTTec369687"/>
        </w:rPr>
        <w:t>(4): 523-536.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Calibri"/>
          <w:color w:val="000000"/>
        </w:rPr>
      </w:pPr>
      <w:r w:rsidRPr="00203744">
        <w:rPr>
          <w:rFonts w:cs="Calibri"/>
          <w:color w:val="000000"/>
        </w:rPr>
        <w:t xml:space="preserve">Van den </w:t>
      </w:r>
      <w:proofErr w:type="spellStart"/>
      <w:r w:rsidRPr="00203744">
        <w:rPr>
          <w:rFonts w:cs="Calibri"/>
          <w:color w:val="000000"/>
        </w:rPr>
        <w:t>Bos</w:t>
      </w:r>
      <w:proofErr w:type="spellEnd"/>
      <w:r w:rsidRPr="00203744">
        <w:rPr>
          <w:rFonts w:cs="Calibri"/>
          <w:color w:val="000000"/>
        </w:rPr>
        <w:t xml:space="preserve">, P. &amp; </w:t>
      </w:r>
      <w:proofErr w:type="spellStart"/>
      <w:r w:rsidRPr="00203744">
        <w:rPr>
          <w:rFonts w:cs="Calibri"/>
          <w:color w:val="000000"/>
        </w:rPr>
        <w:t>Brouwer</w:t>
      </w:r>
      <w:proofErr w:type="spellEnd"/>
      <w:r w:rsidRPr="00203744">
        <w:rPr>
          <w:rFonts w:cs="Calibri"/>
          <w:color w:val="000000"/>
        </w:rPr>
        <w:t xml:space="preserve">, J. 2014. Learning to teach in higher education: How to link theory and practice. </w:t>
      </w:r>
      <w:r w:rsidRPr="00203744">
        <w:rPr>
          <w:rFonts w:cs="Calibri"/>
          <w:i/>
          <w:color w:val="000000"/>
        </w:rPr>
        <w:t>Teaching in Higher Education</w:t>
      </w:r>
      <w:r w:rsidRPr="00203744">
        <w:rPr>
          <w:rFonts w:cs="Calibri"/>
          <w:color w:val="000000"/>
        </w:rPr>
        <w:t>, 19(7): 772-786.</w:t>
      </w:r>
    </w:p>
    <w:p w:rsidR="006C6B3B" w:rsidRPr="00203744" w:rsidRDefault="006C6B3B" w:rsidP="006C6B3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Calibri"/>
          <w:color w:val="000000"/>
        </w:rPr>
      </w:pPr>
      <w:r w:rsidRPr="00203744">
        <w:rPr>
          <w:rFonts w:cs="Calibri"/>
          <w:color w:val="000000"/>
        </w:rPr>
        <w:t xml:space="preserve">Young, S.F. 2008. Theoretical frameworks and models of learning: Tools for developing conceptions of teaching and learning. </w:t>
      </w:r>
      <w:r w:rsidRPr="00203744">
        <w:rPr>
          <w:rFonts w:cs="Calibri"/>
          <w:i/>
          <w:color w:val="000000"/>
        </w:rPr>
        <w:t>International Journal for Academic Development</w:t>
      </w:r>
      <w:r w:rsidRPr="00203744">
        <w:rPr>
          <w:rFonts w:cs="Calibri"/>
          <w:color w:val="000000"/>
        </w:rPr>
        <w:t>, 13(1): 41-49.</w:t>
      </w:r>
    </w:p>
    <w:p w:rsidR="006C6B3B" w:rsidRPr="00C75F41" w:rsidRDefault="006C6B3B" w:rsidP="006C6B3B">
      <w:pPr>
        <w:spacing w:after="0" w:line="276" w:lineRule="auto"/>
        <w:ind w:left="426"/>
        <w:jc w:val="both"/>
        <w:rPr>
          <w:rFonts w:cs="Calibri"/>
          <w:color w:val="000000"/>
        </w:rPr>
      </w:pPr>
    </w:p>
    <w:p w:rsidR="006C6B3B" w:rsidRPr="00C75F41" w:rsidRDefault="006C6B3B" w:rsidP="006C6B3B">
      <w:pPr>
        <w:spacing w:line="276" w:lineRule="auto"/>
        <w:ind w:firstLine="426"/>
        <w:jc w:val="both"/>
        <w:rPr>
          <w:rFonts w:cs="Arial-BoldMT-Identity-H"/>
          <w:b/>
          <w:bCs/>
          <w:color w:val="FFFFFF"/>
        </w:rPr>
      </w:pPr>
      <w:r w:rsidRPr="00C75F41">
        <w:rPr>
          <w:b/>
        </w:rPr>
        <w:t>2</w:t>
      </w:r>
      <w:r>
        <w:rPr>
          <w:b/>
        </w:rPr>
        <w:t>.</w:t>
      </w:r>
      <w:r w:rsidRPr="00C75F41">
        <w:rPr>
          <w:b/>
        </w:rPr>
        <w:t xml:space="preserve"> Books and Chapters in Books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AB5877">
        <w:rPr>
          <w:rFonts w:cs="TimesNewRomanPSMT-Identity-H"/>
          <w:color w:val="000000"/>
        </w:rPr>
        <w:t xml:space="preserve">Angelo, T.A. &amp; Cross, K.P. 1993. (1988). </w:t>
      </w:r>
      <w:r w:rsidRPr="00AB5877">
        <w:rPr>
          <w:rFonts w:cs="TimesNewRomanPS-ItalicMT-Identi"/>
          <w:i/>
          <w:iCs/>
          <w:color w:val="000000"/>
        </w:rPr>
        <w:t>Classroom Assessment Techniques: A Handbook for College Teachers.</w:t>
      </w:r>
      <w:r w:rsidRPr="00AB5877">
        <w:rPr>
          <w:rFonts w:cs="TimesNewRomanPSMT-Identity-H"/>
          <w:color w:val="000000"/>
        </w:rPr>
        <w:t xml:space="preserve"> 2nd Edition.</w:t>
      </w:r>
      <w:r w:rsidRPr="00AB5877">
        <w:rPr>
          <w:rFonts w:cs="AdvTTec369687"/>
        </w:rPr>
        <w:t xml:space="preserve"> San Francisco, CA: </w:t>
      </w:r>
      <w:proofErr w:type="spellStart"/>
      <w:r w:rsidRPr="00AB5877">
        <w:rPr>
          <w:rFonts w:cs="AdvTTec369687"/>
        </w:rPr>
        <w:t>Jossey</w:t>
      </w:r>
      <w:proofErr w:type="spellEnd"/>
      <w:r w:rsidRPr="00AB5877">
        <w:rPr>
          <w:rFonts w:cs="AdvTTec369687"/>
        </w:rPr>
        <w:t>-Bass.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</w:pPr>
      <w:proofErr w:type="spellStart"/>
      <w:r w:rsidRPr="00C75F41">
        <w:t>Badat</w:t>
      </w:r>
      <w:proofErr w:type="spellEnd"/>
      <w:r w:rsidRPr="00C75F41">
        <w:t xml:space="preserve">, S. 2012. Redressing the colonial/apartheid legacy: Social equity, redress, and higher education admissions in democratic South Africa. In Hasan, Z. &amp; Nussbaum, M. (Eds.), </w:t>
      </w:r>
      <w:proofErr w:type="gramStart"/>
      <w:r w:rsidRPr="00AB5877">
        <w:rPr>
          <w:i/>
        </w:rPr>
        <w:t>Equalizing</w:t>
      </w:r>
      <w:proofErr w:type="gramEnd"/>
      <w:r w:rsidRPr="00AB5877">
        <w:rPr>
          <w:i/>
        </w:rPr>
        <w:t xml:space="preserve"> access: Affirmative action in higher education in India, United States, and South Africa</w:t>
      </w:r>
      <w:r w:rsidRPr="00C75F41">
        <w:t>. New Delhi: Oxford University Press. Pp. 121-150.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C75F41">
        <w:t xml:space="preserve">Biggs. J. 2003. </w:t>
      </w:r>
      <w:r w:rsidRPr="00AB5877">
        <w:rPr>
          <w:i/>
        </w:rPr>
        <w:t>Teaching for Quality Learning at University</w:t>
      </w:r>
      <w:r w:rsidRPr="00C75F41">
        <w:t>. Buckingham. Milton Keynes: The Society for Research into Higher Education/Open University Press.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AB5877">
        <w:rPr>
          <w:rFonts w:cs="AdvTTec369687"/>
        </w:rPr>
        <w:t xml:space="preserve">Boyer, E. 1990. </w:t>
      </w:r>
      <w:r w:rsidRPr="00AB5877">
        <w:rPr>
          <w:rFonts w:cs="AdvTTc6ee16d2.I"/>
          <w:i/>
        </w:rPr>
        <w:t>Scholarship reconsidered: Priorities of the professoriate</w:t>
      </w:r>
      <w:r w:rsidRPr="00AB5877">
        <w:rPr>
          <w:rFonts w:cs="AdvTTec369687"/>
        </w:rPr>
        <w:t xml:space="preserve">. San Francisco, CA: </w:t>
      </w:r>
      <w:proofErr w:type="spellStart"/>
      <w:r w:rsidRPr="00AB5877">
        <w:rPr>
          <w:rFonts w:cs="AdvTTec369687"/>
        </w:rPr>
        <w:t>Jossey</w:t>
      </w:r>
      <w:proofErr w:type="spellEnd"/>
      <w:r w:rsidRPr="00AB5877">
        <w:rPr>
          <w:rFonts w:cs="AdvTTec369687"/>
        </w:rPr>
        <w:t>-Bass.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C75F41">
        <w:t xml:space="preserve">Brookfield, S.D. 2006. </w:t>
      </w:r>
      <w:r w:rsidRPr="00AB5877">
        <w:rPr>
          <w:i/>
        </w:rPr>
        <w:t>The skilful teacher: On technique, trust, and responsiveness in the classroom</w:t>
      </w:r>
      <w:r w:rsidRPr="00C75F41">
        <w:t xml:space="preserve">. San Francisco, CA: </w:t>
      </w:r>
      <w:proofErr w:type="spellStart"/>
      <w:r w:rsidRPr="00C75F41">
        <w:t>Jossey</w:t>
      </w:r>
      <w:proofErr w:type="spellEnd"/>
      <w:r w:rsidRPr="00C75F41">
        <w:t>-Bass.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BellGothic-Bold"/>
          <w:bCs/>
        </w:rPr>
      </w:pPr>
      <w:r w:rsidRPr="00C75F41">
        <w:t xml:space="preserve">Butcher, C., Davies, C. &amp; </w:t>
      </w:r>
      <w:proofErr w:type="spellStart"/>
      <w:r w:rsidRPr="00C75F41">
        <w:t>Highton</w:t>
      </w:r>
      <w:proofErr w:type="spellEnd"/>
      <w:r w:rsidRPr="00C75F41">
        <w:t xml:space="preserve">, M. 2006. </w:t>
      </w:r>
      <w:r w:rsidRPr="00AB5877">
        <w:rPr>
          <w:rFonts w:cs="BellGothic-Black"/>
          <w:bCs/>
          <w:i/>
        </w:rPr>
        <w:t xml:space="preserve">Designing learning. </w:t>
      </w:r>
      <w:r w:rsidRPr="00AB5877">
        <w:rPr>
          <w:rFonts w:cs="BellGothic-Bold"/>
          <w:bCs/>
          <w:i/>
        </w:rPr>
        <w:t>From module outline to effective teaching</w:t>
      </w:r>
      <w:r w:rsidRPr="00AB5877">
        <w:rPr>
          <w:rFonts w:cs="BellGothic-Bold"/>
          <w:bCs/>
        </w:rPr>
        <w:t>. London, New York: Routledge.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C75F41">
        <w:t xml:space="preserve">Freire, P. 1985. </w:t>
      </w:r>
      <w:r w:rsidRPr="00AB5877">
        <w:rPr>
          <w:i/>
        </w:rPr>
        <w:t>The politics of education: Culture, power and liberation</w:t>
      </w:r>
      <w:r w:rsidRPr="00C75F41">
        <w:t>. New York: Macmillan.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BellGothic-Bold"/>
          <w:bCs/>
        </w:rPr>
      </w:pPr>
      <w:r w:rsidRPr="00AB5877">
        <w:rPr>
          <w:rFonts w:cs="Times New Roman"/>
        </w:rPr>
        <w:t xml:space="preserve">Fry, H., </w:t>
      </w:r>
      <w:proofErr w:type="spellStart"/>
      <w:r w:rsidRPr="00AB5877">
        <w:rPr>
          <w:rFonts w:cs="Times New Roman"/>
        </w:rPr>
        <w:t>Ketteridge</w:t>
      </w:r>
      <w:proofErr w:type="spellEnd"/>
      <w:r w:rsidRPr="00AB5877">
        <w:rPr>
          <w:rFonts w:cs="Times New Roman"/>
        </w:rPr>
        <w:t xml:space="preserve">, S. &amp; Marshall, S. (Eds.) 2009. (1999). </w:t>
      </w:r>
      <w:r w:rsidRPr="00AB5877">
        <w:rPr>
          <w:rFonts w:cs="Times New Roman"/>
          <w:i/>
        </w:rPr>
        <w:t>A Handbook for Teaching and Learning in Higher Education. Enhancing Academic Practice</w:t>
      </w:r>
      <w:r w:rsidRPr="00AB5877">
        <w:rPr>
          <w:rFonts w:cs="Times New Roman"/>
        </w:rPr>
        <w:t>. 3</w:t>
      </w:r>
      <w:r w:rsidRPr="00AB5877">
        <w:rPr>
          <w:rFonts w:cs="Times New Roman"/>
          <w:vertAlign w:val="superscript"/>
        </w:rPr>
        <w:t>rd</w:t>
      </w:r>
      <w:r w:rsidRPr="00AB5877">
        <w:rPr>
          <w:rFonts w:cs="Times New Roman"/>
        </w:rPr>
        <w:t xml:space="preserve"> Edition. </w:t>
      </w:r>
      <w:r w:rsidRPr="00AB5877">
        <w:rPr>
          <w:rFonts w:cs="BellGothic-Bold"/>
          <w:bCs/>
        </w:rPr>
        <w:t>London, New York: Routledge.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dvTTec369687"/>
        </w:rPr>
      </w:pPr>
      <w:r w:rsidRPr="00AB5877">
        <w:rPr>
          <w:rFonts w:cs="AdvTTec369687"/>
        </w:rPr>
        <w:t xml:space="preserve">Leibowitz, B., Van Schalkwyk, S., Van der Merwe, A., Herman, N. &amp; Young, G. 2009. What makes a good </w:t>
      </w:r>
      <w:r w:rsidRPr="00AB5877">
        <w:rPr>
          <w:rFonts w:cs="AdvTTec369687+fb"/>
        </w:rPr>
        <w:t>fi</w:t>
      </w:r>
      <w:r w:rsidRPr="00AB5877">
        <w:rPr>
          <w:rFonts w:cs="AdvTTec369687"/>
        </w:rPr>
        <w:t xml:space="preserve">rst year lecturer? In Leibowitz, B., Van der Merwe, A. &amp; Van Schalkwyk, S. (Eds.), </w:t>
      </w:r>
      <w:r w:rsidRPr="00AB5877">
        <w:rPr>
          <w:rFonts w:cs="AdvTTc6ee16d2.I"/>
          <w:i/>
        </w:rPr>
        <w:t xml:space="preserve">Focus on </w:t>
      </w:r>
      <w:r w:rsidRPr="00AB5877">
        <w:rPr>
          <w:rFonts w:cs="AdvTTc6ee16d2.I+fb"/>
          <w:i/>
        </w:rPr>
        <w:t>fi</w:t>
      </w:r>
      <w:r w:rsidRPr="00AB5877">
        <w:rPr>
          <w:rFonts w:cs="AdvTTc6ee16d2.I"/>
          <w:i/>
        </w:rPr>
        <w:t>rst year success: Perspectives emerging from South Africa and beyond</w:t>
      </w:r>
      <w:r w:rsidRPr="00AB5877">
        <w:rPr>
          <w:rFonts w:cs="AdvTTc6ee16d2.I"/>
        </w:rPr>
        <w:t>. P</w:t>
      </w:r>
      <w:r w:rsidRPr="00AB5877">
        <w:rPr>
          <w:rFonts w:cs="AdvTTec369687"/>
        </w:rPr>
        <w:t>p. 255-270. Stellenbosch: Sun Press.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AB5877">
        <w:rPr>
          <w:rFonts w:cs="Times New Roman"/>
        </w:rPr>
        <w:t xml:space="preserve">Meyer, J.H.F. &amp; Land, R. 2003. Threshold concepts and troublesome knowledge – linkages to ways of thinking and practising. In </w:t>
      </w:r>
      <w:r w:rsidRPr="00AB5877">
        <w:rPr>
          <w:rFonts w:cs="Times New Roman"/>
          <w:i/>
          <w:iCs/>
        </w:rPr>
        <w:t xml:space="preserve">Improving Student Learning – Ten Years On. </w:t>
      </w:r>
      <w:r w:rsidRPr="00AB5877">
        <w:rPr>
          <w:rFonts w:cs="Times New Roman"/>
        </w:rPr>
        <w:t>C. Rust (Ed.), OCSLD, Oxford.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dvTTec369687"/>
        </w:rPr>
      </w:pPr>
      <w:proofErr w:type="spellStart"/>
      <w:r w:rsidRPr="00AB5877">
        <w:rPr>
          <w:rFonts w:cs="AdvTTec369687"/>
        </w:rPr>
        <w:t>Mezirow</w:t>
      </w:r>
      <w:proofErr w:type="spellEnd"/>
      <w:r w:rsidRPr="00AB5877">
        <w:rPr>
          <w:rFonts w:cs="AdvTTec369687"/>
        </w:rPr>
        <w:t xml:space="preserve">, J. 1991. </w:t>
      </w:r>
      <w:r w:rsidRPr="00AB5877">
        <w:rPr>
          <w:rFonts w:cs="AdvTTc6ee16d2.I"/>
          <w:i/>
        </w:rPr>
        <w:t>Transformative dimensions of adult learning</w:t>
      </w:r>
      <w:r w:rsidRPr="00AB5877">
        <w:rPr>
          <w:rFonts w:cs="AdvTTec369687"/>
        </w:rPr>
        <w:t xml:space="preserve">. San Francisco, CA: </w:t>
      </w:r>
      <w:proofErr w:type="spellStart"/>
      <w:r w:rsidRPr="00AB5877">
        <w:rPr>
          <w:rFonts w:cs="AdvTTec369687"/>
        </w:rPr>
        <w:t>Jossey</w:t>
      </w:r>
      <w:proofErr w:type="spellEnd"/>
      <w:r w:rsidRPr="00AB5877">
        <w:rPr>
          <w:rFonts w:cs="AdvTTec369687"/>
        </w:rPr>
        <w:t>-Bass.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C75F41">
        <w:t xml:space="preserve">Ramsden, P. 2002. </w:t>
      </w:r>
      <w:r w:rsidRPr="00AB5877">
        <w:rPr>
          <w:i/>
        </w:rPr>
        <w:t>Learning to Teach in Higher Education</w:t>
      </w:r>
      <w:r w:rsidRPr="00C75F41">
        <w:t>. London, New York: Routledge.</w:t>
      </w:r>
    </w:p>
    <w:p w:rsidR="006C6B3B" w:rsidRPr="00C75F41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proofErr w:type="spellStart"/>
      <w:r w:rsidRPr="00AB5877">
        <w:rPr>
          <w:rFonts w:cs="AdvTTec369687"/>
        </w:rPr>
        <w:t>Schön</w:t>
      </w:r>
      <w:proofErr w:type="spellEnd"/>
      <w:r w:rsidRPr="00AB5877">
        <w:rPr>
          <w:rFonts w:cs="AdvTTec369687"/>
        </w:rPr>
        <w:t xml:space="preserve">, D. 1987. </w:t>
      </w:r>
      <w:r w:rsidRPr="00AB5877">
        <w:rPr>
          <w:rFonts w:cs="AdvTTc6ee16d2.I"/>
          <w:i/>
        </w:rPr>
        <w:t>Educating the re</w:t>
      </w:r>
      <w:r w:rsidRPr="00AB5877">
        <w:rPr>
          <w:rFonts w:cs="AdvTTc6ee16d2.I+fb"/>
          <w:i/>
        </w:rPr>
        <w:t>fl</w:t>
      </w:r>
      <w:r w:rsidRPr="00AB5877">
        <w:rPr>
          <w:rFonts w:cs="AdvTTc6ee16d2.I"/>
          <w:i/>
        </w:rPr>
        <w:t>ective practitioner</w:t>
      </w:r>
      <w:r w:rsidRPr="00AB5877">
        <w:rPr>
          <w:rFonts w:cs="AdvTTec369687"/>
        </w:rPr>
        <w:t xml:space="preserve">. San Francisco, CA: </w:t>
      </w:r>
      <w:proofErr w:type="spellStart"/>
      <w:r w:rsidRPr="00AB5877">
        <w:rPr>
          <w:rFonts w:cs="AdvTTec369687"/>
        </w:rPr>
        <w:t>Jossey</w:t>
      </w:r>
      <w:proofErr w:type="spellEnd"/>
      <w:r w:rsidRPr="00AB5877">
        <w:rPr>
          <w:rFonts w:cs="AdvTTec369687"/>
        </w:rPr>
        <w:t>-Bass.</w:t>
      </w:r>
    </w:p>
    <w:p w:rsidR="006C6B3B" w:rsidRPr="00AB5877" w:rsidRDefault="006C6B3B" w:rsidP="006C6B3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AB5877">
        <w:rPr>
          <w:rFonts w:cs="Calibri"/>
          <w:color w:val="000000"/>
        </w:rPr>
        <w:t>Seldin</w:t>
      </w:r>
      <w:proofErr w:type="spellEnd"/>
      <w:r w:rsidRPr="00AB5877">
        <w:rPr>
          <w:rFonts w:cs="Calibri"/>
          <w:color w:val="000000"/>
        </w:rPr>
        <w:t xml:space="preserve">, P., Miller, J.E. &amp; </w:t>
      </w:r>
      <w:proofErr w:type="spellStart"/>
      <w:r w:rsidRPr="00AB5877">
        <w:rPr>
          <w:rFonts w:cs="Calibri"/>
          <w:color w:val="000000"/>
        </w:rPr>
        <w:t>Seldin</w:t>
      </w:r>
      <w:proofErr w:type="spellEnd"/>
      <w:r w:rsidRPr="00AB5877">
        <w:rPr>
          <w:rFonts w:cs="Calibri"/>
          <w:color w:val="000000"/>
        </w:rPr>
        <w:t xml:space="preserve">, C.A. 2010. </w:t>
      </w:r>
      <w:r w:rsidRPr="00AB5877">
        <w:rPr>
          <w:rFonts w:cs="Calibri"/>
          <w:i/>
          <w:color w:val="000000"/>
        </w:rPr>
        <w:t>The teaching portfolio: A practical guide to improved performance and promotion/tenure decisions</w:t>
      </w:r>
      <w:r w:rsidRPr="00AB5877">
        <w:rPr>
          <w:rFonts w:cs="Calibri"/>
          <w:color w:val="000000"/>
        </w:rPr>
        <w:t xml:space="preserve">. San Francisco, CA: </w:t>
      </w:r>
      <w:proofErr w:type="spellStart"/>
      <w:r w:rsidRPr="00AB5877">
        <w:rPr>
          <w:rFonts w:cs="Calibri"/>
          <w:color w:val="000000"/>
        </w:rPr>
        <w:t>Jossey</w:t>
      </w:r>
      <w:proofErr w:type="spellEnd"/>
      <w:r w:rsidRPr="00AB5877">
        <w:rPr>
          <w:rFonts w:cs="Calibri"/>
          <w:color w:val="000000"/>
        </w:rPr>
        <w:t>-Bass.</w:t>
      </w:r>
    </w:p>
    <w:p w:rsidR="006C6B3B" w:rsidRPr="006C6B3B" w:rsidRDefault="006C6B3B" w:rsidP="006C6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AdvTTec369687"/>
        </w:rPr>
      </w:pPr>
      <w:r w:rsidRPr="006C6B3B">
        <w:rPr>
          <w:rFonts w:cs="AdvTTec369687"/>
        </w:rPr>
        <w:t xml:space="preserve">Wenger, E. 1998. </w:t>
      </w:r>
      <w:r w:rsidRPr="006C6B3B">
        <w:rPr>
          <w:rFonts w:cs="AdvTTc6ee16d2.I"/>
          <w:i/>
        </w:rPr>
        <w:t>Communities of practice: Learning, meaning and identity</w:t>
      </w:r>
      <w:r w:rsidRPr="006C6B3B">
        <w:rPr>
          <w:rFonts w:cs="AdvTTec369687"/>
        </w:rPr>
        <w:t>. New York, NY: Cambridge University Press.</w:t>
      </w:r>
    </w:p>
    <w:p w:rsidR="0018730D" w:rsidRDefault="0018730D"/>
    <w:sectPr w:rsidR="0018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noPro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c36968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c6ee16d2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2A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10188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8864cc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Gothic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ec369687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c6ee16d2.I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489"/>
    <w:multiLevelType w:val="hybridMultilevel"/>
    <w:tmpl w:val="6C602870"/>
    <w:lvl w:ilvl="0" w:tplc="8466C0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66A3C"/>
    <w:multiLevelType w:val="hybridMultilevel"/>
    <w:tmpl w:val="7A081750"/>
    <w:lvl w:ilvl="0" w:tplc="8466C0DA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B"/>
    <w:rsid w:val="0018730D"/>
    <w:rsid w:val="002701B9"/>
    <w:rsid w:val="006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A987-3763-42A4-BD4F-D6D27CF8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3B"/>
    <w:rPr>
      <w:color w:val="0563C1"/>
      <w:u w:val="single"/>
    </w:rPr>
  </w:style>
  <w:style w:type="paragraph" w:customStyle="1" w:styleId="Default">
    <w:name w:val="Default"/>
    <w:rsid w:val="006C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commons.georgiasouthern.edu/ij-sotl/vol8/iss1/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herdsa.org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585C66-23A1-47B7-8074-10AF6D4A9968}"/>
</file>

<file path=customXml/itemProps2.xml><?xml version="1.0" encoding="utf-8"?>
<ds:datastoreItem xmlns:ds="http://schemas.openxmlformats.org/officeDocument/2006/customXml" ds:itemID="{FCAD80E5-BA87-4317-809E-39D80FE0E41D}"/>
</file>

<file path=customXml/itemProps3.xml><?xml version="1.0" encoding="utf-8"?>
<ds:datastoreItem xmlns:ds="http://schemas.openxmlformats.org/officeDocument/2006/customXml" ds:itemID="{652DAAAB-4884-4760-9FA0-5CAB0C919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Cattell, K, Dr &lt;kcattell@sun.ac.za&gt;</dc:creator>
  <cp:keywords/>
  <dc:description/>
  <cp:lastModifiedBy>De Klerk, M, Mrs &lt;mine@sun.ac.za&gt;</cp:lastModifiedBy>
  <cp:revision>2</cp:revision>
  <dcterms:created xsi:type="dcterms:W3CDTF">2017-03-05T13:49:00Z</dcterms:created>
  <dcterms:modified xsi:type="dcterms:W3CDTF">2017-03-05T13:49:00Z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