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1F" w:rsidRDefault="00880C1F" w:rsidP="001D07ED">
      <w:pPr>
        <w:jc w:val="center"/>
      </w:pPr>
      <w:r>
        <w:rPr>
          <w:noProof/>
          <w:lang w:eastAsia="en-ZA"/>
        </w:rPr>
        <w:drawing>
          <wp:inline distT="0" distB="0" distL="0" distR="0" wp14:anchorId="5039FF0E" wp14:editId="36878015">
            <wp:extent cx="4900916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61" cy="9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1F" w:rsidRDefault="00880C1F" w:rsidP="001D07ED">
      <w:pPr>
        <w:spacing w:line="240" w:lineRule="auto"/>
        <w:jc w:val="center"/>
        <w:rPr>
          <w:sz w:val="44"/>
          <w:szCs w:val="44"/>
        </w:rPr>
      </w:pPr>
      <w:r>
        <w:rPr>
          <w:sz w:val="36"/>
          <w:szCs w:val="36"/>
        </w:rPr>
        <w:t>Slow scholarship</w:t>
      </w:r>
    </w:p>
    <w:p w:rsidR="00880C1F" w:rsidRDefault="00880C1F" w:rsidP="001D07ED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Writing by Hours</w:t>
      </w:r>
    </w:p>
    <w:p w:rsidR="00715C57" w:rsidRDefault="00715C57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The Centre fo</w:t>
      </w:r>
      <w:r w:rsidR="001D07ED">
        <w:rPr>
          <w:sz w:val="24"/>
          <w:szCs w:val="24"/>
        </w:rPr>
        <w:t xml:space="preserve">r Teaching and Learning invites SU staff involved in teaching and learning to join in writing and discussion sessions </w:t>
      </w:r>
      <w:r>
        <w:rPr>
          <w:sz w:val="24"/>
          <w:szCs w:val="24"/>
        </w:rPr>
        <w:t>to participate in growing the Scholarship of Teaching and Learning (</w:t>
      </w:r>
      <w:proofErr w:type="spellStart"/>
      <w:r>
        <w:rPr>
          <w:sz w:val="24"/>
          <w:szCs w:val="24"/>
        </w:rPr>
        <w:t>SoTL</w:t>
      </w:r>
      <w:proofErr w:type="spellEnd"/>
      <w:r>
        <w:rPr>
          <w:sz w:val="24"/>
          <w:szCs w:val="24"/>
        </w:rPr>
        <w:t xml:space="preserve">) at Stellenbosch University. </w:t>
      </w:r>
      <w:r w:rsidR="001D07ED">
        <w:rPr>
          <w:sz w:val="24"/>
          <w:szCs w:val="24"/>
        </w:rPr>
        <w:t xml:space="preserve">The sessions </w:t>
      </w:r>
      <w:proofErr w:type="gramStart"/>
      <w:r w:rsidR="001D07ED">
        <w:rPr>
          <w:sz w:val="24"/>
          <w:szCs w:val="24"/>
        </w:rPr>
        <w:t>are held</w:t>
      </w:r>
      <w:proofErr w:type="gramEnd"/>
      <w:r w:rsidR="001D07ED">
        <w:rPr>
          <w:sz w:val="24"/>
          <w:szCs w:val="24"/>
        </w:rPr>
        <w:t xml:space="preserve"> on campus at either </w:t>
      </w:r>
      <w:proofErr w:type="spellStart"/>
      <w:r w:rsidR="001D07ED">
        <w:rPr>
          <w:sz w:val="24"/>
          <w:szCs w:val="24"/>
        </w:rPr>
        <w:t>Skuilhoek</w:t>
      </w:r>
      <w:proofErr w:type="spellEnd"/>
      <w:r w:rsidR="001D07ED">
        <w:rPr>
          <w:sz w:val="24"/>
          <w:szCs w:val="24"/>
        </w:rPr>
        <w:t xml:space="preserve"> (41 Victoria Street) or </w:t>
      </w:r>
      <w:proofErr w:type="spellStart"/>
      <w:r w:rsidR="001D07ED">
        <w:rPr>
          <w:sz w:val="24"/>
          <w:szCs w:val="24"/>
        </w:rPr>
        <w:t>Manewales</w:t>
      </w:r>
      <w:proofErr w:type="spellEnd"/>
      <w:r w:rsidR="001D07ED">
        <w:rPr>
          <w:sz w:val="24"/>
          <w:szCs w:val="24"/>
        </w:rPr>
        <w:t xml:space="preserve"> (15 Bosman Street)</w:t>
      </w:r>
      <w:r w:rsidR="00C85D5F">
        <w:rPr>
          <w:sz w:val="24"/>
          <w:szCs w:val="24"/>
        </w:rPr>
        <w:t xml:space="preserve">. </w:t>
      </w:r>
    </w:p>
    <w:p w:rsidR="00880C1F" w:rsidRDefault="00880C1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Slow scholarship “</w:t>
      </w:r>
      <w:r w:rsidRPr="00880C1F">
        <w:rPr>
          <w:sz w:val="24"/>
          <w:szCs w:val="24"/>
        </w:rPr>
        <w:t>can enhance teaching and le</w:t>
      </w:r>
      <w:r w:rsidR="00715C57">
        <w:rPr>
          <w:sz w:val="24"/>
          <w:szCs w:val="24"/>
        </w:rPr>
        <w:t>arning practices and [also]</w:t>
      </w:r>
      <w:r w:rsidRPr="00880C1F">
        <w:rPr>
          <w:sz w:val="24"/>
          <w:szCs w:val="24"/>
        </w:rPr>
        <w:t xml:space="preserve"> increase recognition for te</w:t>
      </w:r>
      <w:r w:rsidR="00C85D5F">
        <w:rPr>
          <w:sz w:val="24"/>
          <w:szCs w:val="24"/>
        </w:rPr>
        <w:t>aching as a scholarly activity</w:t>
      </w:r>
      <w:r w:rsidR="00715C57">
        <w:rPr>
          <w:sz w:val="24"/>
          <w:szCs w:val="24"/>
        </w:rPr>
        <w:t>”</w:t>
      </w:r>
      <w:r w:rsidR="00C85D5F">
        <w:rPr>
          <w:sz w:val="24"/>
          <w:szCs w:val="24"/>
        </w:rPr>
        <w:t xml:space="preserve"> </w:t>
      </w:r>
      <w:r w:rsidR="00C85D5F">
        <w:rPr>
          <w:sz w:val="24"/>
          <w:szCs w:val="24"/>
        </w:rPr>
        <w:fldChar w:fldCharType="begin" w:fldLock="1"/>
      </w:r>
      <w:r w:rsidR="00C85D5F">
        <w:rPr>
          <w:sz w:val="24"/>
          <w:szCs w:val="24"/>
        </w:rPr>
        <w:instrText>ADDIN CSL_CITATION {"citationItems":[{"id":"ITEM-1","itemData":{"DOI":"10.1080/13562517.2018.1452730","author":[{"dropping-particle":"","family":"Leibowitz","given":"Brenda","non-dropping-particle":"","parse-names":false,"suffix":""},{"dropping-particle":"","family":"Leibowitz","given":"Brenda","non-dropping-particle":"","parse-names":false,"suffix":""},{"dropping-particle":"","family":"Bozalek","given":"Vivienne","non-dropping-particle":"","parse-names":false,"suffix":""}],"id":"ITEM-1","issue":"November","issued":{"date-parts":[["2018"]]},"publisher":"Taylor &amp; Francis","title":"Towards a Slow scholarship of teaching and learning in the South Towards a Slow scholarship of teaching and learning in the South","type":"article-journal"},"uris":["http://www.mendeley.com/documents/?uuid=68928131-b429-49fc-9aa5-ee35e238f616"]}],"mendeley":{"formattedCitation":"(Leibowitz, Leibowitz and Bozalek, 2018)","manualFormatting":"(Leibowitz and Bozalek, 2018)","plainTextFormattedCitation":"(Leibowitz, Leibowitz and Bozalek, 2018)"},"properties":{"noteIndex":0},"schema":"https://github.com/citation-style-language/schema/raw/master/csl-citation.json"}</w:instrText>
      </w:r>
      <w:r w:rsidR="00C85D5F">
        <w:rPr>
          <w:sz w:val="24"/>
          <w:szCs w:val="24"/>
        </w:rPr>
        <w:fldChar w:fldCharType="separate"/>
      </w:r>
      <w:r w:rsidR="00C85D5F">
        <w:rPr>
          <w:noProof/>
          <w:sz w:val="24"/>
          <w:szCs w:val="24"/>
        </w:rPr>
        <w:t>(</w:t>
      </w:r>
      <w:r w:rsidR="00C85D5F" w:rsidRPr="00C85D5F">
        <w:rPr>
          <w:noProof/>
          <w:sz w:val="24"/>
          <w:szCs w:val="24"/>
        </w:rPr>
        <w:t>Leibowitz and Bozalek, 2018)</w:t>
      </w:r>
      <w:r w:rsidR="00C85D5F">
        <w:rPr>
          <w:sz w:val="24"/>
          <w:szCs w:val="24"/>
        </w:rPr>
        <w:fldChar w:fldCharType="end"/>
      </w:r>
      <w:r w:rsidR="00C85D5F">
        <w:rPr>
          <w:sz w:val="24"/>
          <w:szCs w:val="24"/>
        </w:rPr>
        <w:t xml:space="preserve">. The authors </w:t>
      </w:r>
      <w:r w:rsidR="00715C57">
        <w:rPr>
          <w:sz w:val="24"/>
          <w:szCs w:val="24"/>
        </w:rPr>
        <w:t xml:space="preserve">accede that in countries like South Africa </w:t>
      </w:r>
      <w:r w:rsidR="00C85D5F">
        <w:rPr>
          <w:sz w:val="24"/>
          <w:szCs w:val="24"/>
        </w:rPr>
        <w:t>this concept</w:t>
      </w:r>
      <w:r w:rsidRPr="00880C1F">
        <w:rPr>
          <w:sz w:val="24"/>
          <w:szCs w:val="24"/>
        </w:rPr>
        <w:t xml:space="preserve"> </w:t>
      </w:r>
      <w:r w:rsidR="00C85D5F">
        <w:rPr>
          <w:sz w:val="24"/>
          <w:szCs w:val="24"/>
        </w:rPr>
        <w:t>“</w:t>
      </w:r>
      <w:r w:rsidR="00715C57">
        <w:rPr>
          <w:sz w:val="24"/>
          <w:szCs w:val="24"/>
        </w:rPr>
        <w:t>helps to take into account con</w:t>
      </w:r>
      <w:r w:rsidRPr="00880C1F">
        <w:rPr>
          <w:sz w:val="24"/>
          <w:szCs w:val="24"/>
        </w:rPr>
        <w:t>ditions of inequality and matters of difference, at the indi</w:t>
      </w:r>
      <w:r w:rsidR="00715C57">
        <w:rPr>
          <w:sz w:val="24"/>
          <w:szCs w:val="24"/>
        </w:rPr>
        <w:t>vidual, disciplinary and institutional levels.”</w:t>
      </w:r>
      <w:r w:rsidR="00C85D5F">
        <w:rPr>
          <w:sz w:val="24"/>
          <w:szCs w:val="24"/>
        </w:rPr>
        <w:t xml:space="preserve"> </w:t>
      </w:r>
    </w:p>
    <w:p w:rsidR="00C85D5F" w:rsidRDefault="00C85D5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1CF">
        <w:rPr>
          <w:sz w:val="24"/>
          <w:szCs w:val="24"/>
        </w:rPr>
        <w:t>programme runs for 3</w:t>
      </w:r>
      <w:r>
        <w:rPr>
          <w:sz w:val="24"/>
          <w:szCs w:val="24"/>
        </w:rPr>
        <w:t xml:space="preserve"> hours per session</w:t>
      </w:r>
      <w:r w:rsidR="00176330">
        <w:rPr>
          <w:sz w:val="24"/>
          <w:szCs w:val="24"/>
        </w:rPr>
        <w:t xml:space="preserve"> with short (max 20min) </w:t>
      </w:r>
      <w:proofErr w:type="gramStart"/>
      <w:r w:rsidR="00176330">
        <w:rPr>
          <w:sz w:val="24"/>
          <w:szCs w:val="24"/>
        </w:rPr>
        <w:t>goal-setting</w:t>
      </w:r>
      <w:proofErr w:type="gramEnd"/>
      <w:r w:rsidR="00176330">
        <w:rPr>
          <w:sz w:val="24"/>
          <w:szCs w:val="24"/>
        </w:rPr>
        <w:t xml:space="preserve"> and discussion time.</w:t>
      </w:r>
      <w:r w:rsidR="002C11CF">
        <w:rPr>
          <w:sz w:val="24"/>
          <w:szCs w:val="24"/>
        </w:rPr>
        <w:t xml:space="preserve"> Feel free to make use of consecutive sessions and days.</w:t>
      </w:r>
    </w:p>
    <w:p w:rsidR="00176330" w:rsidRDefault="002C11C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wish</w:t>
      </w:r>
      <w:r w:rsidR="00C85D5F">
        <w:rPr>
          <w:sz w:val="24"/>
          <w:szCs w:val="24"/>
        </w:rPr>
        <w:t xml:space="preserve"> to take up the invitation, kindly fill in your details and indicate the times and dates you would like to attend. </w:t>
      </w:r>
      <w:r w:rsidR="00176330">
        <w:rPr>
          <w:sz w:val="24"/>
          <w:szCs w:val="24"/>
        </w:rPr>
        <w:t xml:space="preserve">Copy your line manager / </w:t>
      </w:r>
      <w:proofErr w:type="spellStart"/>
      <w:r w:rsidR="00176330">
        <w:rPr>
          <w:sz w:val="24"/>
          <w:szCs w:val="24"/>
        </w:rPr>
        <w:t>HoD</w:t>
      </w:r>
      <w:proofErr w:type="spellEnd"/>
      <w:r w:rsidR="00176330">
        <w:rPr>
          <w:sz w:val="24"/>
          <w:szCs w:val="24"/>
        </w:rPr>
        <w:t xml:space="preserve"> in your application submission</w:t>
      </w:r>
      <w:r w:rsidR="001D07ED">
        <w:rPr>
          <w:sz w:val="24"/>
          <w:szCs w:val="24"/>
        </w:rPr>
        <w:t xml:space="preserve"> to </w:t>
      </w:r>
      <w:hyperlink r:id="rId6" w:history="1">
        <w:r w:rsidR="001D07ED" w:rsidRPr="00896ADE">
          <w:rPr>
            <w:rStyle w:val="Hyperlink"/>
            <w:sz w:val="24"/>
            <w:szCs w:val="24"/>
          </w:rPr>
          <w:t>finlo@sun.ac.za</w:t>
        </w:r>
      </w:hyperlink>
      <w:r w:rsidR="001D07ED">
        <w:rPr>
          <w:sz w:val="24"/>
          <w:szCs w:val="24"/>
        </w:rPr>
        <w:t xml:space="preserve"> </w:t>
      </w:r>
    </w:p>
    <w:p w:rsidR="001D07ED" w:rsidRDefault="001D07ED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queries</w:t>
      </w:r>
      <w:proofErr w:type="gramEnd"/>
      <w:r>
        <w:rPr>
          <w:sz w:val="24"/>
          <w:szCs w:val="24"/>
        </w:rPr>
        <w:t xml:space="preserve"> contact Jean Lee Farmer at </w:t>
      </w:r>
      <w:hyperlink r:id="rId7" w:history="1">
        <w:r w:rsidRPr="00896ADE">
          <w:rPr>
            <w:rStyle w:val="Hyperlink"/>
            <w:sz w:val="24"/>
            <w:szCs w:val="24"/>
          </w:rPr>
          <w:t>jeanlee@sun.ac.za</w:t>
        </w:r>
      </w:hyperlink>
      <w:r>
        <w:rPr>
          <w:sz w:val="24"/>
          <w:szCs w:val="24"/>
        </w:rPr>
        <w:t xml:space="preserve"> or #2956</w:t>
      </w:r>
    </w:p>
    <w:p w:rsidR="00C85D5F" w:rsidRDefault="001D07ED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5D5F">
        <w:rPr>
          <w:sz w:val="24"/>
          <w:szCs w:val="24"/>
        </w:rPr>
        <w:t>lease note that booking is essential, as space is limited to 10 persons per session.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3543"/>
      </w:tblGrid>
      <w:tr w:rsidR="00C85D5F" w:rsidTr="001D07ED">
        <w:trPr>
          <w:trHeight w:val="59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76330" w:rsidRDefault="00C85D5F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Faculty and department</w:t>
            </w:r>
            <w:r w:rsidR="00176330">
              <w:rPr>
                <w:sz w:val="24"/>
                <w:szCs w:val="24"/>
              </w:rPr>
              <w:t>:</w:t>
            </w:r>
          </w:p>
          <w:p w:rsidR="00C85D5F" w:rsidRDefault="00C85D5F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number:</w:t>
            </w:r>
            <w:r w:rsidR="00176330">
              <w:rPr>
                <w:sz w:val="24"/>
                <w:szCs w:val="24"/>
              </w:rPr>
              <w:t xml:space="preserve">                                                     Line manager:</w:t>
            </w:r>
          </w:p>
          <w:p w:rsidR="00176330" w:rsidRDefault="00176330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176330" w:rsidRDefault="00176330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brief (approximately 100 words) description of the aspect and goal in teaching and learning research/innovation you intend to work on during the session/s:</w:t>
            </w: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Session</w:t>
            </w:r>
            <w:r w:rsidR="002C11CF">
              <w:rPr>
                <w:b/>
                <w:sz w:val="24"/>
                <w:szCs w:val="24"/>
              </w:rPr>
              <w:t xml:space="preserve"> 9:00 – 12:00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Session</w:t>
            </w:r>
            <w:r w:rsidR="002C11CF">
              <w:rPr>
                <w:b/>
                <w:sz w:val="24"/>
                <w:szCs w:val="24"/>
              </w:rPr>
              <w:t xml:space="preserve"> 13:00 – 16:00</w:t>
            </w: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October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December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2C11CF" w:rsidTr="001D07ED">
        <w:tc>
          <w:tcPr>
            <w:tcW w:w="3403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December</w:t>
            </w:r>
          </w:p>
        </w:tc>
        <w:tc>
          <w:tcPr>
            <w:tcW w:w="3119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5D5F" w:rsidRPr="00F42B68" w:rsidRDefault="00C85D5F" w:rsidP="00C85D5F">
      <w:pPr>
        <w:jc w:val="both"/>
        <w:rPr>
          <w:sz w:val="24"/>
          <w:szCs w:val="24"/>
        </w:rPr>
      </w:pPr>
      <w:bookmarkStart w:id="0" w:name="_GoBack"/>
      <w:r w:rsidRPr="00F42B68">
        <w:rPr>
          <w:sz w:val="24"/>
          <w:szCs w:val="24"/>
        </w:rPr>
        <w:t>*Bring your lun</w:t>
      </w:r>
      <w:r w:rsidR="001D07ED" w:rsidRPr="00F42B68">
        <w:rPr>
          <w:sz w:val="24"/>
          <w:szCs w:val="24"/>
        </w:rPr>
        <w:t xml:space="preserve">ch. Coffee/tea and rusks </w:t>
      </w:r>
      <w:proofErr w:type="gramStart"/>
      <w:r w:rsidR="001D07ED" w:rsidRPr="00F42B68">
        <w:rPr>
          <w:sz w:val="24"/>
          <w:szCs w:val="24"/>
        </w:rPr>
        <w:t>will be</w:t>
      </w:r>
      <w:r w:rsidRPr="00F42B68">
        <w:rPr>
          <w:sz w:val="24"/>
          <w:szCs w:val="24"/>
        </w:rPr>
        <w:t xml:space="preserve"> provided</w:t>
      </w:r>
      <w:proofErr w:type="gramEnd"/>
      <w:r w:rsidR="00176330" w:rsidRPr="00F42B68">
        <w:rPr>
          <w:sz w:val="24"/>
          <w:szCs w:val="24"/>
        </w:rPr>
        <w:t>.</w:t>
      </w:r>
    </w:p>
    <w:bookmarkEnd w:id="0"/>
    <w:p w:rsidR="00176330" w:rsidRPr="00F42B68" w:rsidRDefault="00176330" w:rsidP="00C85D5F">
      <w:pPr>
        <w:jc w:val="both"/>
        <w:rPr>
          <w:sz w:val="24"/>
          <w:szCs w:val="24"/>
        </w:rPr>
      </w:pPr>
    </w:p>
    <w:sectPr w:rsidR="00176330" w:rsidRPr="00F42B68" w:rsidSect="00880C1F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1F"/>
    <w:rsid w:val="00012201"/>
    <w:rsid w:val="00041829"/>
    <w:rsid w:val="00176330"/>
    <w:rsid w:val="001D07ED"/>
    <w:rsid w:val="002C11CF"/>
    <w:rsid w:val="00366C7F"/>
    <w:rsid w:val="00715C57"/>
    <w:rsid w:val="00880C1F"/>
    <w:rsid w:val="00A9629A"/>
    <w:rsid w:val="00BB7F61"/>
    <w:rsid w:val="00C3586F"/>
    <w:rsid w:val="00C85D5F"/>
    <w:rsid w:val="00D10785"/>
    <w:rsid w:val="00F42B68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D8716"/>
  <w15:chartTrackingRefBased/>
  <w15:docId w15:val="{48CA6400-C8EE-4B59-97D8-E2977074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1F"/>
  </w:style>
  <w:style w:type="paragraph" w:styleId="Heading1">
    <w:name w:val="heading 1"/>
    <w:basedOn w:val="Normal"/>
    <w:next w:val="Normal"/>
    <w:link w:val="Heading1Char"/>
    <w:uiPriority w:val="9"/>
    <w:qFormat/>
    <w:rsid w:val="00880C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C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C1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80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C1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C1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1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1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1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1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1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1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80C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1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C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0C1F"/>
    <w:rPr>
      <w:b/>
      <w:bCs/>
    </w:rPr>
  </w:style>
  <w:style w:type="character" w:styleId="Emphasis">
    <w:name w:val="Emphasis"/>
    <w:basedOn w:val="DefaultParagraphFont"/>
    <w:uiPriority w:val="20"/>
    <w:qFormat/>
    <w:rsid w:val="00880C1F"/>
    <w:rPr>
      <w:i/>
      <w:iCs/>
    </w:rPr>
  </w:style>
  <w:style w:type="paragraph" w:styleId="NoSpacing">
    <w:name w:val="No Spacing"/>
    <w:uiPriority w:val="1"/>
    <w:qFormat/>
    <w:rsid w:val="00880C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0C1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C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C1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C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0C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0C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0C1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0C1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0C1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1F"/>
    <w:pPr>
      <w:outlineLvl w:val="9"/>
    </w:pPr>
  </w:style>
  <w:style w:type="table" w:styleId="TableGrid">
    <w:name w:val="Table Grid"/>
    <w:basedOn w:val="TableNormal"/>
    <w:uiPriority w:val="39"/>
    <w:rsid w:val="00C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lee@sun.ac.z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lo@sun.ac.z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87EBA-9BD8-430A-8A1A-FB3A55277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CE0F2-D061-4FC0-A033-EB0E9FED5641}"/>
</file>

<file path=customXml/itemProps3.xml><?xml version="1.0" encoding="utf-8"?>
<ds:datastoreItem xmlns:ds="http://schemas.openxmlformats.org/officeDocument/2006/customXml" ds:itemID="{4543D3FA-4B27-47C4-B881-FA9096973777}"/>
</file>

<file path=customXml/itemProps4.xml><?xml version="1.0" encoding="utf-8"?>
<ds:datastoreItem xmlns:ds="http://schemas.openxmlformats.org/officeDocument/2006/customXml" ds:itemID="{73D336FF-73FB-4B44-826E-FF0AE19B1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JL [jeanlee@sun.ac.za]</dc:creator>
  <cp:keywords/>
  <dc:description/>
  <cp:lastModifiedBy>Farmer, JL [jeanlee@sun.ac.za]</cp:lastModifiedBy>
  <cp:revision>3</cp:revision>
  <cp:lastPrinted>2019-09-17T08:55:00Z</cp:lastPrinted>
  <dcterms:created xsi:type="dcterms:W3CDTF">2019-09-11T07:49:00Z</dcterms:created>
  <dcterms:modified xsi:type="dcterms:W3CDTF">2019-09-17T12:30:00Z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ff89a255-397b-3b5e-9d34-004ad87ee9a3</vt:lpwstr>
  </property>
  <property fmtid="{D5CDD505-2E9C-101B-9397-08002B2CF9AE}" pid="24" name="Mendeley Citation Style_1">
    <vt:lpwstr>http://www.zotero.org/styles/harvard1</vt:lpwstr>
  </property>
  <property fmtid="{D5CDD505-2E9C-101B-9397-08002B2CF9AE}" pid="25" name="ContentTypeId">
    <vt:lpwstr>0x0101009CEAAD6F2510DE47AB549C30C4416D3C</vt:lpwstr>
  </property>
</Properties>
</file>